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DC43" w14:textId="77777777" w:rsidR="00635A34" w:rsidRPr="0016412A" w:rsidRDefault="00635A34" w:rsidP="00635A34">
      <w:pPr>
        <w:rPr>
          <w:rFonts w:ascii="Calibri" w:hAnsi="Calibri" w:cs="Calibri"/>
          <w:szCs w:val="20"/>
          <w:lang w:val="en-GB"/>
        </w:rPr>
      </w:pPr>
    </w:p>
    <w:p w14:paraId="1F14EC10" w14:textId="53DB2179" w:rsidR="00686B31" w:rsidRPr="0016412A" w:rsidRDefault="00686B31" w:rsidP="00686B31">
      <w:pPr>
        <w:pBdr>
          <w:bottom w:val="single" w:sz="4" w:space="1" w:color="50B400" w:themeColor="accent4"/>
        </w:pBdr>
        <w:rPr>
          <w:rFonts w:ascii="Calibri" w:hAnsi="Calibri" w:cs="Calibri"/>
          <w:b/>
          <w:bCs/>
          <w:color w:val="50B400" w:themeColor="accent4"/>
          <w:sz w:val="24"/>
          <w:szCs w:val="24"/>
          <w:lang w:val="en-GB"/>
        </w:rPr>
      </w:pPr>
      <w:r>
        <w:rPr>
          <w:rFonts w:ascii="Calibri" w:hAnsi="Calibri" w:cs="Calibri"/>
          <w:b/>
          <w:color w:val="50B400" w:themeColor="accent4"/>
          <w:sz w:val="24"/>
          <w:szCs w:val="24"/>
          <w:lang w:val="en-GB"/>
        </w:rPr>
        <w:t>PPWR</w:t>
      </w:r>
    </w:p>
    <w:p w14:paraId="4C4E977E" w14:textId="58207915" w:rsidR="00AB333C" w:rsidRPr="00AB333C" w:rsidRDefault="00AB333C" w:rsidP="00AB333C">
      <w:pPr>
        <w:jc w:val="both"/>
        <w:rPr>
          <w:rFonts w:ascii="Calibri" w:hAnsi="Calibri" w:cs="Calibri"/>
          <w:szCs w:val="20"/>
          <w:lang w:val="en-GB"/>
        </w:rPr>
      </w:pPr>
      <w:r w:rsidRPr="00AB333C">
        <w:rPr>
          <w:rFonts w:ascii="Calibri" w:hAnsi="Calibri" w:cs="Calibri"/>
          <w:szCs w:val="20"/>
          <w:lang w:val="en-GB"/>
        </w:rPr>
        <w:t xml:space="preserve">The new Packaging and Packaging Waste Regulation (PPWR) aims at reducing the increasing volume of packaging waste and preventing its further growth by 2030.  It entered into force on 11 February 2025 and will apply generally from 12 August 2026, with longer transition periods applying to certain requirements. </w:t>
      </w:r>
    </w:p>
    <w:p w14:paraId="7E168D2B" w14:textId="2FAB3F2F" w:rsidR="00AB333C" w:rsidRPr="00271F66" w:rsidRDefault="00AB333C" w:rsidP="00AB333C">
      <w:pPr>
        <w:jc w:val="both"/>
        <w:rPr>
          <w:rFonts w:ascii="Calibri" w:hAnsi="Calibri" w:cs="Calibri"/>
          <w:b/>
          <w:bCs/>
          <w:color w:val="50B400" w:themeColor="accent4"/>
          <w:szCs w:val="20"/>
          <w:lang w:val="en-GB"/>
        </w:rPr>
      </w:pPr>
      <w:r w:rsidRPr="00AB333C">
        <w:rPr>
          <w:rFonts w:ascii="Calibri" w:hAnsi="Calibri" w:cs="Calibri"/>
          <w:szCs w:val="20"/>
          <w:lang w:val="en-GB"/>
        </w:rPr>
        <w:t>It applies to all economic operators, from manufacturers, suppliers and importers to distributors and fulfilment service providers. According to FEFCO’s current understanding, corrugated packaging companies are typically considered either manufacturers (B2C, or web-sales to end customers) or suppliers (all standard corrugating plants: B2B). The requirements in PPWR for reporting are much higher for manufactures (mainly our customers: brands, retail, traders, …)  then for suppliers (the standard corrugated box plants).</w:t>
      </w:r>
      <w:r w:rsidR="00AC2ADA">
        <w:rPr>
          <w:rFonts w:ascii="Calibri" w:hAnsi="Calibri" w:cs="Calibri"/>
          <w:szCs w:val="20"/>
          <w:lang w:val="en-GB"/>
        </w:rPr>
        <w:t xml:space="preserve"> </w:t>
      </w:r>
      <w:r w:rsidRPr="00AB333C">
        <w:rPr>
          <w:rFonts w:ascii="Calibri" w:hAnsi="Calibri" w:cs="Calibri"/>
          <w:szCs w:val="20"/>
          <w:lang w:val="en-GB"/>
        </w:rPr>
        <w:t xml:space="preserve">However, to accurately identify the specific obligations that apply, each company must assess its role within the supply chain and consult with internal operational and legal departments.  </w:t>
      </w:r>
      <w:r w:rsidR="00271F66" w:rsidRPr="00271F66">
        <w:rPr>
          <w:rFonts w:ascii="Calibri" w:hAnsi="Calibri" w:cs="Calibri"/>
          <w:b/>
          <w:bCs/>
          <w:color w:val="50B400" w:themeColor="accent4"/>
          <w:szCs w:val="20"/>
          <w:lang w:val="en-GB"/>
        </w:rPr>
        <w:t xml:space="preserve">VPK can be both supplier as </w:t>
      </w:r>
      <w:r w:rsidR="00271F66">
        <w:rPr>
          <w:rFonts w:ascii="Calibri" w:hAnsi="Calibri" w:cs="Calibri"/>
          <w:b/>
          <w:bCs/>
          <w:color w:val="50B400" w:themeColor="accent4"/>
          <w:szCs w:val="20"/>
          <w:lang w:val="en-GB"/>
        </w:rPr>
        <w:t>manufacturer</w:t>
      </w:r>
      <w:r w:rsidR="00271F66" w:rsidRPr="00271F66">
        <w:rPr>
          <w:rFonts w:ascii="Calibri" w:hAnsi="Calibri" w:cs="Calibri"/>
          <w:b/>
          <w:bCs/>
          <w:color w:val="50B400" w:themeColor="accent4"/>
          <w:szCs w:val="20"/>
          <w:lang w:val="en-GB"/>
        </w:rPr>
        <w:t xml:space="preserve"> depending on who </w:t>
      </w:r>
      <w:r w:rsidR="00271F66">
        <w:rPr>
          <w:rFonts w:ascii="Calibri" w:hAnsi="Calibri" w:cs="Calibri"/>
          <w:b/>
          <w:bCs/>
          <w:color w:val="50B400" w:themeColor="accent4"/>
          <w:szCs w:val="20"/>
          <w:lang w:val="en-GB"/>
        </w:rPr>
        <w:t>you</w:t>
      </w:r>
      <w:r w:rsidR="00271F66" w:rsidRPr="00271F66">
        <w:rPr>
          <w:rFonts w:ascii="Calibri" w:hAnsi="Calibri" w:cs="Calibri"/>
          <w:b/>
          <w:bCs/>
          <w:color w:val="50B400" w:themeColor="accent4"/>
          <w:szCs w:val="20"/>
          <w:lang w:val="en-GB"/>
        </w:rPr>
        <w:t xml:space="preserve"> deliver</w:t>
      </w:r>
      <w:r w:rsidR="00271F66">
        <w:rPr>
          <w:rFonts w:ascii="Calibri" w:hAnsi="Calibri" w:cs="Calibri"/>
          <w:b/>
          <w:bCs/>
          <w:color w:val="50B400" w:themeColor="accent4"/>
          <w:szCs w:val="20"/>
          <w:lang w:val="en-GB"/>
        </w:rPr>
        <w:t>.</w:t>
      </w:r>
    </w:p>
    <w:p w14:paraId="1A40A04B" w14:textId="77777777" w:rsidR="00774D97" w:rsidRPr="00AB333C" w:rsidRDefault="00774D97" w:rsidP="00AB333C">
      <w:pPr>
        <w:jc w:val="both"/>
        <w:rPr>
          <w:rFonts w:ascii="Calibri" w:hAnsi="Calibri" w:cs="Calibri"/>
          <w:szCs w:val="20"/>
          <w:lang w:val="en-GB"/>
        </w:rPr>
      </w:pPr>
    </w:p>
    <w:p w14:paraId="2C3D98EC" w14:textId="1504A945" w:rsidR="00AB333C" w:rsidRDefault="00AB333C" w:rsidP="00AB333C">
      <w:pPr>
        <w:jc w:val="both"/>
        <w:rPr>
          <w:rFonts w:ascii="Calibri" w:hAnsi="Calibri" w:cs="Calibri"/>
          <w:szCs w:val="20"/>
          <w:lang w:val="en-US"/>
        </w:rPr>
      </w:pPr>
      <w:r w:rsidRPr="00AB333C">
        <w:rPr>
          <w:rFonts w:ascii="Calibri" w:hAnsi="Calibri" w:cs="Calibri"/>
          <w:szCs w:val="20"/>
          <w:lang w:val="en-US"/>
        </w:rPr>
        <w:t>PPWR is a vast regulation, and this summary aims to capture essentials impacting the relation between VPK and its customers.  Major milestones are 2026 regarding PFAS, Heavy Metals (HM) and Bisphenols; 2027 requests compliancy on Extended Producer Responsibility (EPR) and 2028 compliance on packaging labelling.  Across all these milestones, the Commission expects manufacturers of packaging goods to increase efforts on packaging reduction and recycling.</w:t>
      </w:r>
    </w:p>
    <w:p w14:paraId="63050E13" w14:textId="77777777" w:rsidR="00774D97" w:rsidRDefault="00774D97" w:rsidP="00AB333C">
      <w:pPr>
        <w:jc w:val="both"/>
        <w:rPr>
          <w:rFonts w:ascii="Calibri" w:hAnsi="Calibri" w:cs="Calibri"/>
          <w:szCs w:val="20"/>
          <w:lang w:val="en-US"/>
        </w:rPr>
      </w:pPr>
    </w:p>
    <w:p w14:paraId="33BEAE5B" w14:textId="77777777" w:rsidR="00774D97" w:rsidRPr="00AB333C" w:rsidRDefault="00774D97" w:rsidP="00AB333C">
      <w:pPr>
        <w:jc w:val="both"/>
        <w:rPr>
          <w:rFonts w:ascii="Calibri" w:hAnsi="Calibri" w:cs="Calibri"/>
          <w:szCs w:val="20"/>
          <w:lang w:val="en-US"/>
        </w:rPr>
      </w:pPr>
    </w:p>
    <w:p w14:paraId="79FA56D7" w14:textId="549F827E" w:rsidR="00271F66" w:rsidRDefault="00271F66" w:rsidP="00271F66">
      <w:pPr>
        <w:pStyle w:val="ListParagraph"/>
        <w:numPr>
          <w:ilvl w:val="0"/>
          <w:numId w:val="32"/>
        </w:numPr>
        <w:jc w:val="both"/>
        <w:rPr>
          <w:rFonts w:ascii="Calibri" w:hAnsi="Calibri" w:cs="Calibri"/>
          <w:b/>
          <w:bCs/>
          <w:szCs w:val="20"/>
          <w:u w:val="single"/>
          <w:lang w:val="en-US"/>
        </w:rPr>
      </w:pPr>
      <w:r w:rsidRPr="00A05306">
        <w:rPr>
          <w:rFonts w:ascii="Calibri" w:hAnsi="Calibri" w:cs="Calibri"/>
          <w:b/>
          <w:bCs/>
          <w:szCs w:val="20"/>
          <w:u w:val="single"/>
          <w:lang w:val="en-US"/>
        </w:rPr>
        <w:t xml:space="preserve">Substances in packaging (Article 5 of PPWR) </w:t>
      </w:r>
    </w:p>
    <w:p w14:paraId="621FA66F" w14:textId="77777777" w:rsidR="00A05306" w:rsidRPr="00A05306" w:rsidRDefault="00A05306" w:rsidP="00A05306">
      <w:pPr>
        <w:pStyle w:val="ListParagraph"/>
        <w:jc w:val="both"/>
        <w:rPr>
          <w:rFonts w:ascii="Calibri" w:hAnsi="Calibri" w:cs="Calibri"/>
          <w:b/>
          <w:bCs/>
          <w:szCs w:val="20"/>
          <w:u w:val="single"/>
          <w:lang w:val="en-US"/>
        </w:rPr>
      </w:pPr>
    </w:p>
    <w:p w14:paraId="52205B1E" w14:textId="25AD0736" w:rsidR="00AB333C" w:rsidRPr="00AB333C" w:rsidRDefault="00AB333C" w:rsidP="00AB333C">
      <w:pPr>
        <w:jc w:val="both"/>
        <w:rPr>
          <w:rFonts w:ascii="Calibri" w:hAnsi="Calibri" w:cs="Calibri"/>
          <w:szCs w:val="20"/>
          <w:lang w:val="en-US"/>
        </w:rPr>
      </w:pPr>
      <w:r w:rsidRPr="00AB333C">
        <w:rPr>
          <w:rFonts w:ascii="Calibri" w:hAnsi="Calibri" w:cs="Calibri"/>
          <w:b/>
          <w:bCs/>
          <w:szCs w:val="20"/>
          <w:lang w:val="en-US"/>
        </w:rPr>
        <w:t>On the topic of microplastics within PPWR</w:t>
      </w:r>
      <w:r w:rsidRPr="00AB333C">
        <w:rPr>
          <w:rFonts w:ascii="Calibri" w:hAnsi="Calibri" w:cs="Calibri"/>
          <w:szCs w:val="20"/>
          <w:lang w:val="en-US"/>
        </w:rPr>
        <w:t>:</w:t>
      </w:r>
    </w:p>
    <w:p w14:paraId="3E546F61" w14:textId="77777777" w:rsidR="00AB333C" w:rsidRPr="003D58BC" w:rsidRDefault="00AB333C" w:rsidP="00AB333C">
      <w:pPr>
        <w:pStyle w:val="ListParagraph"/>
        <w:numPr>
          <w:ilvl w:val="0"/>
          <w:numId w:val="24"/>
        </w:numPr>
        <w:jc w:val="both"/>
        <w:rPr>
          <w:rFonts w:ascii="Calibri" w:hAnsi="Calibri" w:cs="Calibri"/>
          <w:b/>
          <w:bCs/>
          <w:color w:val="50B400" w:themeColor="accent4"/>
          <w:lang w:val="en-GB"/>
        </w:rPr>
      </w:pPr>
      <w:r w:rsidRPr="00AB333C">
        <w:rPr>
          <w:rFonts w:ascii="Calibri" w:hAnsi="Calibri" w:cs="Calibri"/>
          <w:szCs w:val="20"/>
          <w:lang w:val="en-US"/>
        </w:rPr>
        <w:t xml:space="preserve">VPK has done its due diligence across its supply chain and manufacturing processes.  As an outcome, only certain inks (more specific: the extenders) used in the printing process of corrugated packaging might have micro-plastics.  As a conclusion, VPK requested all its ink suppliers to comply with PPWR and as a consequence, micro-plastics in inks/extenders will be substituted by eco-extenders complying with PPWR.  </w:t>
      </w:r>
      <w:r w:rsidRPr="003D58BC">
        <w:rPr>
          <w:rFonts w:ascii="Calibri" w:hAnsi="Calibri" w:cs="Calibri"/>
          <w:b/>
          <w:bCs/>
          <w:color w:val="50B400" w:themeColor="accent4"/>
          <w:lang w:val="en-GB"/>
        </w:rPr>
        <w:t>VPK will comply by October 2026 on that target.</w:t>
      </w:r>
    </w:p>
    <w:p w14:paraId="579BF4A1" w14:textId="77777777" w:rsidR="00271F66" w:rsidRDefault="00271F66" w:rsidP="00271F66">
      <w:pPr>
        <w:jc w:val="both"/>
        <w:rPr>
          <w:rFonts w:ascii="Calibri" w:hAnsi="Calibri" w:cs="Calibri"/>
          <w:b/>
          <w:bCs/>
          <w:szCs w:val="20"/>
          <w:lang w:val="en-US"/>
        </w:rPr>
      </w:pPr>
    </w:p>
    <w:p w14:paraId="39619A9F" w14:textId="0F66035E" w:rsidR="00271F66" w:rsidRPr="00AB333C" w:rsidRDefault="00271F66" w:rsidP="00271F66">
      <w:pPr>
        <w:jc w:val="both"/>
        <w:rPr>
          <w:rFonts w:ascii="Calibri" w:hAnsi="Calibri" w:cs="Calibri"/>
          <w:b/>
          <w:bCs/>
          <w:szCs w:val="20"/>
          <w:lang w:val="en-US"/>
        </w:rPr>
      </w:pPr>
      <w:r w:rsidRPr="00AB333C">
        <w:rPr>
          <w:rFonts w:ascii="Calibri" w:hAnsi="Calibri" w:cs="Calibri"/>
          <w:b/>
          <w:bCs/>
          <w:szCs w:val="20"/>
          <w:lang w:val="en-US"/>
        </w:rPr>
        <w:t>On the topic of heavy metals (HM)</w:t>
      </w:r>
    </w:p>
    <w:p w14:paraId="65E3736F" w14:textId="78438F60" w:rsidR="00AB333C" w:rsidRPr="00271F66" w:rsidRDefault="00271F66" w:rsidP="00AB333C">
      <w:pPr>
        <w:pStyle w:val="ListParagraph"/>
        <w:numPr>
          <w:ilvl w:val="0"/>
          <w:numId w:val="24"/>
        </w:numPr>
        <w:jc w:val="both"/>
        <w:rPr>
          <w:rFonts w:ascii="Calibri" w:hAnsi="Calibri" w:cs="Calibri"/>
          <w:szCs w:val="20"/>
          <w:lang w:val="en-US"/>
        </w:rPr>
      </w:pPr>
      <w:r w:rsidRPr="00AB333C">
        <w:rPr>
          <w:rFonts w:ascii="Calibri" w:hAnsi="Calibri" w:cs="Calibri"/>
          <w:szCs w:val="20"/>
          <w:lang w:val="en-US"/>
        </w:rPr>
        <w:t xml:space="preserve">Two aspects need to be considered: in what way heavy metals are added in the production process and the level of heavy metals that can be found in VPK’s products.  On the first part, </w:t>
      </w:r>
      <w:r w:rsidRPr="007A3627">
        <w:rPr>
          <w:rFonts w:ascii="Calibri" w:hAnsi="Calibri" w:cs="Calibri"/>
          <w:b/>
          <w:bCs/>
          <w:color w:val="50B400" w:themeColor="accent4"/>
          <w:lang w:val="en-GB"/>
        </w:rPr>
        <w:t xml:space="preserve">VPK does not add intentionally heavy metals </w:t>
      </w:r>
      <w:r w:rsidRPr="00AB333C">
        <w:rPr>
          <w:rFonts w:ascii="Calibri" w:hAnsi="Calibri" w:cs="Calibri"/>
          <w:szCs w:val="20"/>
          <w:lang w:val="en-US"/>
        </w:rPr>
        <w:t>in its production process</w:t>
      </w:r>
      <w:r>
        <w:rPr>
          <w:rFonts w:ascii="Calibri" w:hAnsi="Calibri" w:cs="Calibri"/>
          <w:szCs w:val="20"/>
          <w:lang w:val="en-US"/>
        </w:rPr>
        <w:t>.</w:t>
      </w:r>
      <w:r w:rsidRPr="00AB333C">
        <w:rPr>
          <w:rFonts w:ascii="Calibri" w:hAnsi="Calibri" w:cs="Calibri"/>
          <w:szCs w:val="20"/>
          <w:lang w:val="en-US"/>
        </w:rPr>
        <w:t xml:space="preserve"> On the second part, VPK conducts currently several tests.  Paper being the main component of a corrugated box, analysis has been conducted at VPK Paper</w:t>
      </w:r>
      <w:r>
        <w:rPr>
          <w:rStyle w:val="FootnoteReference"/>
          <w:rFonts w:ascii="Calibri" w:hAnsi="Calibri" w:cs="Calibri"/>
          <w:szCs w:val="20"/>
          <w:lang w:val="en-US"/>
        </w:rPr>
        <w:footnoteReference w:id="1"/>
      </w:r>
      <w:r w:rsidRPr="00AB333C">
        <w:rPr>
          <w:rFonts w:ascii="Calibri" w:hAnsi="Calibri" w:cs="Calibri"/>
          <w:szCs w:val="20"/>
          <w:lang w:val="en-US"/>
        </w:rPr>
        <w:t xml:space="preserve"> on heavy metals. </w:t>
      </w:r>
      <w:r w:rsidRPr="003D58BC">
        <w:rPr>
          <w:rFonts w:ascii="Calibri" w:hAnsi="Calibri" w:cs="Calibri"/>
          <w:b/>
          <w:bCs/>
          <w:color w:val="50B400" w:themeColor="accent4"/>
          <w:lang w:val="en-GB"/>
        </w:rPr>
        <w:t>Results have shown compliance with European regulations. FEFCO has done similar tests on corrugated boxes and is coming to the same result.</w:t>
      </w:r>
      <w:r w:rsidRPr="00AB333C">
        <w:rPr>
          <w:rFonts w:ascii="Calibri" w:hAnsi="Calibri" w:cs="Calibri"/>
          <w:szCs w:val="20"/>
          <w:lang w:val="en-US"/>
        </w:rPr>
        <w:t xml:space="preserve"> Hence – and within the EU – each country can request stricter thresholds and/or different measuring processes. Sample tests on corrugated boxes are being conducted to confirm compliance.</w:t>
      </w:r>
    </w:p>
    <w:p w14:paraId="016009AC" w14:textId="77777777" w:rsidR="00AB333C" w:rsidRPr="00AB333C" w:rsidRDefault="00AB333C" w:rsidP="00AB333C">
      <w:pPr>
        <w:jc w:val="both"/>
        <w:rPr>
          <w:rFonts w:ascii="Calibri" w:hAnsi="Calibri" w:cs="Calibri"/>
          <w:szCs w:val="20"/>
          <w:lang w:val="en-US"/>
        </w:rPr>
      </w:pPr>
    </w:p>
    <w:p w14:paraId="5C5FAC74" w14:textId="77777777" w:rsidR="00AB333C" w:rsidRPr="00AF333C" w:rsidRDefault="00AB333C" w:rsidP="00AB333C">
      <w:pPr>
        <w:jc w:val="both"/>
        <w:rPr>
          <w:rFonts w:ascii="Calibri" w:hAnsi="Calibri" w:cs="Calibri"/>
          <w:b/>
          <w:bCs/>
          <w:szCs w:val="20"/>
          <w:lang w:val="en-US"/>
        </w:rPr>
      </w:pPr>
      <w:r w:rsidRPr="00AF333C">
        <w:rPr>
          <w:rFonts w:ascii="Calibri" w:hAnsi="Calibri" w:cs="Calibri"/>
          <w:b/>
          <w:bCs/>
          <w:szCs w:val="20"/>
          <w:lang w:val="en-US"/>
        </w:rPr>
        <w:t>On the topic of per- and polyfluoroalkyl substances (PFAS):</w:t>
      </w:r>
    </w:p>
    <w:p w14:paraId="5D67B4FB" w14:textId="77777777" w:rsidR="00AB333C" w:rsidRPr="00AF333C" w:rsidRDefault="00AB333C" w:rsidP="00AB333C">
      <w:pPr>
        <w:pStyle w:val="ListParagraph"/>
        <w:numPr>
          <w:ilvl w:val="0"/>
          <w:numId w:val="24"/>
        </w:numPr>
        <w:jc w:val="both"/>
        <w:rPr>
          <w:rFonts w:ascii="Calibri" w:hAnsi="Calibri" w:cs="Calibri"/>
          <w:szCs w:val="20"/>
          <w:lang w:val="en-US"/>
        </w:rPr>
      </w:pPr>
      <w:r w:rsidRPr="00AF333C">
        <w:rPr>
          <w:rFonts w:ascii="Calibri" w:hAnsi="Calibri" w:cs="Calibri"/>
          <w:szCs w:val="20"/>
          <w:lang w:val="en-US"/>
        </w:rPr>
        <w:t>PFAS is a common abbreviation used for a complex group of synthetic chemicals and are often called “forever chemicals”.  PFAS takes an important point of attention within the PPWR, hence we need to be careful.</w:t>
      </w:r>
    </w:p>
    <w:p w14:paraId="07C690A5" w14:textId="77777777" w:rsidR="00A54C05" w:rsidRPr="00AF333C" w:rsidRDefault="00A54C05" w:rsidP="00AB333C">
      <w:pPr>
        <w:pStyle w:val="ListParagraph"/>
        <w:numPr>
          <w:ilvl w:val="0"/>
          <w:numId w:val="24"/>
        </w:numPr>
        <w:jc w:val="both"/>
        <w:rPr>
          <w:rFonts w:ascii="Calibri" w:hAnsi="Calibri" w:cs="Calibri"/>
          <w:szCs w:val="20"/>
          <w:lang w:val="en-US"/>
        </w:rPr>
      </w:pPr>
      <w:r w:rsidRPr="00AF333C">
        <w:rPr>
          <w:rFonts w:ascii="Calibri" w:hAnsi="Calibri" w:cs="Calibri"/>
          <w:szCs w:val="20"/>
          <w:lang w:val="en-US"/>
        </w:rPr>
        <w:t>PFAS restrictions apply exclusively to Food Contact Materials (FCM). However, since FCM is defined as “materials in direct physical contact with food or in indirect contact through the gas phase,” the majority of our food packaging falls within the scope.</w:t>
      </w:r>
    </w:p>
    <w:p w14:paraId="31149089" w14:textId="6A5B1F83" w:rsidR="00AB333C" w:rsidRPr="00AF333C" w:rsidRDefault="00AB333C" w:rsidP="016A85D9">
      <w:pPr>
        <w:pStyle w:val="ListParagraph"/>
        <w:numPr>
          <w:ilvl w:val="0"/>
          <w:numId w:val="24"/>
        </w:numPr>
        <w:jc w:val="both"/>
        <w:rPr>
          <w:rFonts w:ascii="Calibri" w:hAnsi="Calibri" w:cs="Calibri"/>
          <w:lang w:val="en-US"/>
        </w:rPr>
      </w:pPr>
      <w:r w:rsidRPr="016A85D9">
        <w:rPr>
          <w:rFonts w:ascii="Calibri" w:hAnsi="Calibri" w:cs="Calibri"/>
          <w:lang w:val="en-US"/>
        </w:rPr>
        <w:t>At first, the Commission (through PPWR) has stated the maximum thresholds per categories of PFAS (</w:t>
      </w:r>
      <w:r w:rsidR="00656528" w:rsidRPr="016A85D9">
        <w:rPr>
          <w:rFonts w:ascii="Calibri" w:hAnsi="Calibri" w:cs="Calibri"/>
          <w:lang w:val="en-US"/>
        </w:rPr>
        <w:t xml:space="preserve">25ppb, 250 ppb and 50 </w:t>
      </w:r>
      <w:r w:rsidR="00656528" w:rsidRPr="00045C31">
        <w:rPr>
          <w:rFonts w:ascii="Calibri" w:hAnsi="Calibri" w:cs="Calibri"/>
          <w:lang w:val="en-US"/>
        </w:rPr>
        <w:t xml:space="preserve">ppm </w:t>
      </w:r>
      <w:r w:rsidRPr="00045C31">
        <w:rPr>
          <w:rFonts w:ascii="Calibri" w:hAnsi="Calibri" w:cs="Calibri"/>
          <w:lang w:val="en-US"/>
        </w:rPr>
        <w:t>depending on the type of P</w:t>
      </w:r>
      <w:r w:rsidR="00897E97">
        <w:rPr>
          <w:rFonts w:ascii="Calibri" w:hAnsi="Calibri" w:cs="Calibri"/>
          <w:lang w:val="en-US"/>
        </w:rPr>
        <w:t>FAS</w:t>
      </w:r>
      <w:r w:rsidRPr="016A85D9">
        <w:rPr>
          <w:rFonts w:ascii="Calibri" w:hAnsi="Calibri" w:cs="Calibri"/>
          <w:lang w:val="en-US"/>
        </w:rPr>
        <w:t xml:space="preserve">), but due to the high number of PFAS-types, this is complex. </w:t>
      </w:r>
      <w:r w:rsidR="00656528" w:rsidRPr="016A85D9">
        <w:rPr>
          <w:rFonts w:ascii="Calibri" w:hAnsi="Calibri" w:cs="Calibri"/>
          <w:lang w:val="en-US"/>
        </w:rPr>
        <w:t xml:space="preserve"> </w:t>
      </w:r>
      <w:r w:rsidRPr="00485655">
        <w:rPr>
          <w:lang w:val="en-US"/>
        </w:rPr>
        <w:br/>
      </w:r>
      <w:r w:rsidRPr="016A85D9">
        <w:rPr>
          <w:rFonts w:ascii="Calibri" w:hAnsi="Calibri" w:cs="Calibri"/>
          <w:lang w:val="en-US"/>
        </w:rPr>
        <w:t xml:space="preserve">Second, the Commission (through PPWR) has not stated the way PFAS needs to be measured. </w:t>
      </w:r>
      <w:r w:rsidRPr="00485655">
        <w:rPr>
          <w:lang w:val="en-US"/>
        </w:rPr>
        <w:br/>
      </w:r>
      <w:r w:rsidRPr="016A85D9">
        <w:rPr>
          <w:rFonts w:ascii="Calibri" w:hAnsi="Calibri" w:cs="Calibri"/>
          <w:lang w:val="en-US"/>
        </w:rPr>
        <w:t xml:space="preserve">As a consequence, this makes it pretty difficult for manufacturers to identify how its PFAS-performance complies with PPWR requirements. </w:t>
      </w:r>
      <w:r w:rsidR="00490856" w:rsidRPr="016A85D9">
        <w:rPr>
          <w:rFonts w:ascii="Calibri" w:hAnsi="Calibri" w:cs="Calibri"/>
          <w:lang w:val="en-US"/>
        </w:rPr>
        <w:t xml:space="preserve">Hence </w:t>
      </w:r>
      <w:r w:rsidR="002A2F92" w:rsidRPr="016A85D9">
        <w:rPr>
          <w:rFonts w:ascii="Calibri" w:hAnsi="Calibri" w:cs="Calibri"/>
          <w:lang w:val="en-US"/>
        </w:rPr>
        <w:t>the</w:t>
      </w:r>
      <w:r w:rsidRPr="016A85D9">
        <w:rPr>
          <w:rFonts w:ascii="Calibri" w:hAnsi="Calibri" w:cs="Calibri"/>
          <w:lang w:val="en-US"/>
        </w:rPr>
        <w:t xml:space="preserve"> commission has recently approved the test proposal by RISE, </w:t>
      </w:r>
      <w:r w:rsidR="00490856" w:rsidRPr="016A85D9">
        <w:rPr>
          <w:rFonts w:ascii="Calibri" w:hAnsi="Calibri" w:cs="Calibri"/>
          <w:lang w:val="en-US"/>
        </w:rPr>
        <w:t>formal validation &amp; publication still needs to happen.</w:t>
      </w:r>
    </w:p>
    <w:p w14:paraId="7CF9ACCF" w14:textId="4AE05675" w:rsidR="00AB333C" w:rsidRPr="00AF333C" w:rsidRDefault="00AB333C" w:rsidP="00AB333C">
      <w:pPr>
        <w:pStyle w:val="ListParagraph"/>
        <w:numPr>
          <w:ilvl w:val="0"/>
          <w:numId w:val="24"/>
        </w:numPr>
        <w:jc w:val="both"/>
        <w:rPr>
          <w:rFonts w:ascii="Calibri" w:hAnsi="Calibri" w:cs="Calibri"/>
          <w:szCs w:val="20"/>
          <w:lang w:val="en-US"/>
        </w:rPr>
      </w:pPr>
      <w:r w:rsidRPr="00AF333C">
        <w:rPr>
          <w:rFonts w:ascii="Calibri" w:hAnsi="Calibri" w:cs="Calibri"/>
          <w:b/>
          <w:bCs/>
          <w:color w:val="50B400" w:themeColor="accent4"/>
          <w:lang w:val="en-GB"/>
        </w:rPr>
        <w:lastRenderedPageBreak/>
        <w:t xml:space="preserve">VPK does not intentionally </w:t>
      </w:r>
      <w:r w:rsidR="004F746A" w:rsidRPr="00AF333C">
        <w:rPr>
          <w:rFonts w:ascii="Calibri" w:hAnsi="Calibri" w:cs="Calibri"/>
          <w:b/>
          <w:bCs/>
          <w:color w:val="50B400" w:themeColor="accent4"/>
          <w:lang w:val="en-GB"/>
        </w:rPr>
        <w:t xml:space="preserve">add </w:t>
      </w:r>
      <w:r w:rsidRPr="00AF333C">
        <w:rPr>
          <w:rFonts w:ascii="Calibri" w:hAnsi="Calibri" w:cs="Calibri"/>
          <w:b/>
          <w:bCs/>
          <w:color w:val="50B400" w:themeColor="accent4"/>
          <w:lang w:val="en-GB"/>
        </w:rPr>
        <w:t>PFAS in its production process</w:t>
      </w:r>
      <w:r w:rsidRPr="00AF333C">
        <w:rPr>
          <w:rFonts w:ascii="Calibri" w:hAnsi="Calibri" w:cs="Calibri"/>
          <w:color w:val="B4B4AF" w:themeColor="accent6"/>
          <w:szCs w:val="20"/>
          <w:lang w:val="en-US"/>
        </w:rPr>
        <w:t xml:space="preserve"> </w:t>
      </w:r>
      <w:r w:rsidRPr="00AF333C">
        <w:rPr>
          <w:rFonts w:ascii="Calibri" w:hAnsi="Calibri" w:cs="Calibri"/>
          <w:szCs w:val="20"/>
          <w:lang w:val="en-US"/>
        </w:rPr>
        <w:t xml:space="preserve">of paper nor of corrugated packaging. Its suppliers have confirmed the same approach.  When it comes to bisphenol A &amp; B, same approach: not intentionally added in the production process. </w:t>
      </w:r>
    </w:p>
    <w:p w14:paraId="4BCAB381" w14:textId="3276B045" w:rsidR="00AB333C" w:rsidRPr="00AF333C" w:rsidRDefault="00AB333C" w:rsidP="004867B2">
      <w:pPr>
        <w:pStyle w:val="ListParagraph"/>
        <w:numPr>
          <w:ilvl w:val="0"/>
          <w:numId w:val="24"/>
        </w:numPr>
        <w:jc w:val="both"/>
        <w:rPr>
          <w:rFonts w:ascii="Calibri" w:hAnsi="Calibri" w:cs="Calibri"/>
          <w:szCs w:val="20"/>
          <w:lang w:val="en-US"/>
        </w:rPr>
      </w:pPr>
      <w:r w:rsidRPr="00AF333C">
        <w:rPr>
          <w:rFonts w:ascii="Calibri" w:hAnsi="Calibri" w:cs="Calibri"/>
          <w:szCs w:val="20"/>
          <w:lang w:val="en-US"/>
        </w:rPr>
        <w:t xml:space="preserve">VPK conducts </w:t>
      </w:r>
      <w:r w:rsidRPr="00AF333C">
        <w:rPr>
          <w:rFonts w:ascii="Calibri" w:hAnsi="Calibri" w:cs="Calibri"/>
          <w:b/>
          <w:bCs/>
          <w:color w:val="50B400" w:themeColor="accent4"/>
          <w:lang w:val="en-GB"/>
        </w:rPr>
        <w:t>every second year some PFAS analysis</w:t>
      </w:r>
      <w:r w:rsidRPr="00AF333C">
        <w:rPr>
          <w:rFonts w:ascii="Calibri" w:hAnsi="Calibri" w:cs="Calibri"/>
          <w:color w:val="B4B4AF" w:themeColor="accent6"/>
          <w:szCs w:val="20"/>
          <w:lang w:val="en-US"/>
        </w:rPr>
        <w:t xml:space="preserve"> </w:t>
      </w:r>
      <w:r w:rsidRPr="00AF333C">
        <w:rPr>
          <w:rFonts w:ascii="Calibri" w:hAnsi="Calibri" w:cs="Calibri"/>
          <w:szCs w:val="20"/>
          <w:lang w:val="en-US"/>
        </w:rPr>
        <w:t xml:space="preserve">on a selection of categories with an ISO-certified (17025 &amp; 22000) laboratory Eurofins.  Results over time show stable values below the PPWR thresholds </w:t>
      </w:r>
      <w:r w:rsidR="00490856" w:rsidRPr="00AF333C">
        <w:rPr>
          <w:rFonts w:ascii="Calibri" w:hAnsi="Calibri" w:cs="Calibri"/>
          <w:szCs w:val="20"/>
          <w:lang w:val="en-US"/>
        </w:rPr>
        <w:t xml:space="preserve">and </w:t>
      </w:r>
      <w:r w:rsidR="00DE0DA2">
        <w:rPr>
          <w:rFonts w:ascii="Calibri" w:hAnsi="Calibri" w:cs="Calibri"/>
          <w:szCs w:val="20"/>
          <w:lang w:val="en-US"/>
        </w:rPr>
        <w:t>latest</w:t>
      </w:r>
      <w:r w:rsidR="00490856" w:rsidRPr="00AF333C">
        <w:rPr>
          <w:rFonts w:ascii="Calibri" w:hAnsi="Calibri" w:cs="Calibri"/>
          <w:szCs w:val="20"/>
          <w:lang w:val="en-US"/>
        </w:rPr>
        <w:t xml:space="preserve"> tests </w:t>
      </w:r>
      <w:r w:rsidR="00A05306">
        <w:rPr>
          <w:rFonts w:ascii="Calibri" w:hAnsi="Calibri" w:cs="Calibri"/>
          <w:szCs w:val="20"/>
          <w:lang w:val="en-US"/>
        </w:rPr>
        <w:t>were</w:t>
      </w:r>
      <w:r w:rsidR="00490856" w:rsidRPr="00AF333C">
        <w:rPr>
          <w:rFonts w:ascii="Calibri" w:hAnsi="Calibri" w:cs="Calibri"/>
          <w:szCs w:val="20"/>
          <w:lang w:val="en-US"/>
        </w:rPr>
        <w:t xml:space="preserve"> performed in Q4 2025</w:t>
      </w:r>
      <w:r w:rsidR="00AF333C" w:rsidRPr="00AF333C">
        <w:rPr>
          <w:rFonts w:ascii="Calibri" w:hAnsi="Calibri" w:cs="Calibri"/>
          <w:szCs w:val="20"/>
          <w:lang w:val="en-US"/>
        </w:rPr>
        <w:t>.</w:t>
      </w:r>
    </w:p>
    <w:p w14:paraId="3A554669" w14:textId="77777777" w:rsidR="00AB333C" w:rsidRDefault="00AB333C" w:rsidP="00AB333C">
      <w:pPr>
        <w:jc w:val="both"/>
        <w:rPr>
          <w:rFonts w:ascii="Calibri" w:hAnsi="Calibri" w:cs="Calibri"/>
          <w:szCs w:val="20"/>
          <w:lang w:val="en-US"/>
        </w:rPr>
      </w:pPr>
    </w:p>
    <w:p w14:paraId="50E1914B" w14:textId="6F3C70F0" w:rsidR="00271F66" w:rsidRDefault="00271F66" w:rsidP="00A05306">
      <w:pPr>
        <w:pStyle w:val="ListParagraph"/>
        <w:numPr>
          <w:ilvl w:val="0"/>
          <w:numId w:val="32"/>
        </w:numPr>
        <w:jc w:val="both"/>
        <w:rPr>
          <w:rFonts w:ascii="Calibri" w:hAnsi="Calibri" w:cs="Calibri"/>
          <w:b/>
          <w:bCs/>
          <w:szCs w:val="20"/>
          <w:u w:val="single"/>
          <w:lang w:val="en-US"/>
        </w:rPr>
      </w:pPr>
      <w:r w:rsidRPr="00A05306">
        <w:rPr>
          <w:rFonts w:ascii="Calibri" w:hAnsi="Calibri" w:cs="Calibri"/>
          <w:b/>
          <w:bCs/>
          <w:szCs w:val="20"/>
          <w:u w:val="single"/>
          <w:lang w:val="en-US"/>
        </w:rPr>
        <w:t xml:space="preserve">On the topic of </w:t>
      </w:r>
      <w:r w:rsidR="00D719CC" w:rsidRPr="00A05306">
        <w:rPr>
          <w:rFonts w:ascii="Calibri" w:hAnsi="Calibri" w:cs="Calibri"/>
          <w:b/>
          <w:bCs/>
          <w:szCs w:val="20"/>
          <w:u w:val="single"/>
          <w:lang w:val="en-US"/>
        </w:rPr>
        <w:t xml:space="preserve">Declaration of </w:t>
      </w:r>
      <w:r w:rsidRPr="00A05306">
        <w:rPr>
          <w:rFonts w:ascii="Calibri" w:hAnsi="Calibri" w:cs="Calibri"/>
          <w:b/>
          <w:bCs/>
          <w:szCs w:val="20"/>
          <w:u w:val="single"/>
          <w:lang w:val="en-US"/>
        </w:rPr>
        <w:t>conformity:</w:t>
      </w:r>
    </w:p>
    <w:p w14:paraId="19366C4F" w14:textId="77777777" w:rsidR="00A05306" w:rsidRPr="00A05306" w:rsidRDefault="00A05306" w:rsidP="00A05306">
      <w:pPr>
        <w:pStyle w:val="ListParagraph"/>
        <w:jc w:val="both"/>
        <w:rPr>
          <w:rFonts w:ascii="Calibri" w:hAnsi="Calibri" w:cs="Calibri"/>
          <w:b/>
          <w:bCs/>
          <w:szCs w:val="20"/>
          <w:u w:val="single"/>
          <w:lang w:val="en-US"/>
        </w:rPr>
      </w:pPr>
    </w:p>
    <w:p w14:paraId="25D01BF2" w14:textId="51F1251F" w:rsidR="00D719CC" w:rsidRDefault="00271F66" w:rsidP="00271F66">
      <w:pPr>
        <w:pStyle w:val="ListParagraph"/>
        <w:numPr>
          <w:ilvl w:val="0"/>
          <w:numId w:val="24"/>
        </w:numPr>
        <w:jc w:val="both"/>
        <w:rPr>
          <w:rFonts w:ascii="Calibri" w:hAnsi="Calibri" w:cs="Calibri"/>
          <w:szCs w:val="20"/>
          <w:lang w:val="en-US"/>
        </w:rPr>
      </w:pPr>
      <w:r w:rsidRPr="00AB333C">
        <w:rPr>
          <w:rFonts w:ascii="Calibri" w:hAnsi="Calibri" w:cs="Calibri"/>
          <w:szCs w:val="20"/>
          <w:lang w:val="en-US"/>
        </w:rPr>
        <w:t xml:space="preserve">The target date is set at August 2026 and </w:t>
      </w:r>
      <w:r w:rsidRPr="007822BC">
        <w:rPr>
          <w:rFonts w:ascii="Calibri" w:hAnsi="Calibri" w:cs="Calibri"/>
          <w:b/>
          <w:bCs/>
          <w:color w:val="50B400" w:themeColor="accent4"/>
          <w:lang w:val="en-GB"/>
        </w:rPr>
        <w:t xml:space="preserve">is the duty of the </w:t>
      </w:r>
      <w:r w:rsidR="00D719CC">
        <w:rPr>
          <w:rFonts w:ascii="Calibri" w:hAnsi="Calibri" w:cs="Calibri"/>
          <w:b/>
          <w:bCs/>
          <w:color w:val="50B400" w:themeColor="accent4"/>
          <w:lang w:val="en-GB"/>
        </w:rPr>
        <w:t>manufacturer</w:t>
      </w:r>
      <w:r w:rsidRPr="00AB333C">
        <w:rPr>
          <w:rFonts w:ascii="Calibri" w:hAnsi="Calibri" w:cs="Calibri"/>
          <w:color w:val="B4B4AF" w:themeColor="accent6"/>
          <w:szCs w:val="20"/>
          <w:lang w:val="en-US"/>
        </w:rPr>
        <w:t xml:space="preserve"> </w:t>
      </w:r>
      <w:r w:rsidRPr="00AB333C">
        <w:rPr>
          <w:rFonts w:ascii="Calibri" w:hAnsi="Calibri" w:cs="Calibri"/>
          <w:szCs w:val="20"/>
          <w:lang w:val="en-US"/>
        </w:rPr>
        <w:t xml:space="preserve">(company using the packaging products: brands, retail, traders, …).  This means the </w:t>
      </w:r>
      <w:r w:rsidR="00D719CC">
        <w:rPr>
          <w:rFonts w:ascii="Calibri" w:hAnsi="Calibri" w:cs="Calibri"/>
          <w:szCs w:val="20"/>
          <w:lang w:val="en-US"/>
        </w:rPr>
        <w:t>manufacturer</w:t>
      </w:r>
      <w:r w:rsidRPr="00AB333C">
        <w:rPr>
          <w:rFonts w:ascii="Calibri" w:hAnsi="Calibri" w:cs="Calibri"/>
          <w:szCs w:val="20"/>
          <w:lang w:val="en-US"/>
        </w:rPr>
        <w:t xml:space="preserve"> needs to comply with a “Conformity Document” that needs to be made per material. Yet, no definition has been established on the definition on what a material might be.  On the content of the “Conformity Document”, PPWR refers to Annex 7.  PPWR does not make a distinction between primary, secondary and tertiary packaging</w:t>
      </w:r>
      <w:r>
        <w:rPr>
          <w:rFonts w:ascii="Calibri" w:hAnsi="Calibri" w:cs="Calibri"/>
          <w:szCs w:val="20"/>
          <w:lang w:val="en-US"/>
        </w:rPr>
        <w:t xml:space="preserve"> and</w:t>
      </w:r>
      <w:r w:rsidRPr="00AB333C">
        <w:rPr>
          <w:rFonts w:ascii="Calibri" w:hAnsi="Calibri" w:cs="Calibri"/>
          <w:szCs w:val="20"/>
          <w:lang w:val="en-US"/>
        </w:rPr>
        <w:t xml:space="preserve"> all type of packaging should be considered.  VPK wants to support its customers (as being mainly the </w:t>
      </w:r>
      <w:r w:rsidR="00D719CC">
        <w:rPr>
          <w:rFonts w:ascii="Calibri" w:hAnsi="Calibri" w:cs="Calibri"/>
          <w:szCs w:val="20"/>
          <w:lang w:val="en-US"/>
        </w:rPr>
        <w:t>manufacturers</w:t>
      </w:r>
      <w:r w:rsidRPr="00AB333C">
        <w:rPr>
          <w:rFonts w:ascii="Calibri" w:hAnsi="Calibri" w:cs="Calibri"/>
          <w:szCs w:val="20"/>
          <w:lang w:val="en-US"/>
        </w:rPr>
        <w:t xml:space="preserve"> according to PPWR) in establishing th</w:t>
      </w:r>
      <w:r w:rsidR="00D719CC">
        <w:rPr>
          <w:rFonts w:ascii="Calibri" w:hAnsi="Calibri" w:cs="Calibri"/>
          <w:szCs w:val="20"/>
          <w:lang w:val="en-US"/>
        </w:rPr>
        <w:t>is</w:t>
      </w:r>
      <w:r w:rsidRPr="00AB333C">
        <w:rPr>
          <w:rFonts w:ascii="Calibri" w:hAnsi="Calibri" w:cs="Calibri"/>
          <w:szCs w:val="20"/>
          <w:lang w:val="en-US"/>
        </w:rPr>
        <w:t xml:space="preserve"> Conformity Document. </w:t>
      </w:r>
    </w:p>
    <w:p w14:paraId="25995663" w14:textId="243604FD" w:rsidR="00D719CC" w:rsidRDefault="00D719CC" w:rsidP="00D719CC">
      <w:pPr>
        <w:pStyle w:val="ListParagraph"/>
        <w:numPr>
          <w:ilvl w:val="0"/>
          <w:numId w:val="24"/>
        </w:numPr>
        <w:jc w:val="both"/>
        <w:rPr>
          <w:rFonts w:ascii="Calibri" w:hAnsi="Calibri" w:cs="Calibri"/>
          <w:szCs w:val="20"/>
          <w:lang w:val="en-US"/>
        </w:rPr>
      </w:pPr>
      <w:r w:rsidRPr="00A05306">
        <w:rPr>
          <w:rFonts w:ascii="Calibri" w:hAnsi="Calibri" w:cs="Calibri"/>
          <w:color w:val="50B400" w:themeColor="accent4"/>
          <w:szCs w:val="20"/>
          <w:lang w:val="en-US"/>
        </w:rPr>
        <w:t>When VPK is seen as the supplier</w:t>
      </w:r>
      <w:r>
        <w:rPr>
          <w:rFonts w:ascii="Calibri" w:hAnsi="Calibri" w:cs="Calibri"/>
          <w:szCs w:val="20"/>
          <w:lang w:val="en-US"/>
        </w:rPr>
        <w:t xml:space="preserve">, </w:t>
      </w:r>
      <w:r w:rsidR="00271F66" w:rsidRPr="00AB333C">
        <w:rPr>
          <w:rFonts w:ascii="Calibri" w:hAnsi="Calibri" w:cs="Calibri"/>
          <w:szCs w:val="20"/>
          <w:lang w:val="en-US"/>
        </w:rPr>
        <w:t xml:space="preserve"> </w:t>
      </w:r>
      <w:r>
        <w:rPr>
          <w:rFonts w:ascii="Calibri" w:hAnsi="Calibri" w:cs="Calibri"/>
          <w:szCs w:val="20"/>
          <w:lang w:val="en-US"/>
        </w:rPr>
        <w:t>it can send the required technical data, a compliance statement and, if specifically requested by the customer, test reports.</w:t>
      </w:r>
    </w:p>
    <w:p w14:paraId="75D9DF1B" w14:textId="662BFA8D" w:rsidR="00897E97" w:rsidRPr="00D719CC" w:rsidRDefault="00D719CC" w:rsidP="00AB333C">
      <w:pPr>
        <w:pStyle w:val="ListParagraph"/>
        <w:numPr>
          <w:ilvl w:val="0"/>
          <w:numId w:val="24"/>
        </w:numPr>
        <w:jc w:val="both"/>
        <w:rPr>
          <w:rFonts w:ascii="Calibri" w:hAnsi="Calibri" w:cs="Calibri"/>
          <w:szCs w:val="20"/>
          <w:lang w:val="en-US"/>
        </w:rPr>
      </w:pPr>
      <w:r w:rsidRPr="00A05306">
        <w:rPr>
          <w:rFonts w:ascii="Calibri" w:hAnsi="Calibri" w:cs="Calibri"/>
          <w:color w:val="50B400" w:themeColor="accent4"/>
          <w:szCs w:val="20"/>
          <w:lang w:val="en-US"/>
        </w:rPr>
        <w:t>When VPK is seen as the manufacturer</w:t>
      </w:r>
      <w:r>
        <w:rPr>
          <w:rFonts w:ascii="Calibri" w:hAnsi="Calibri" w:cs="Calibri"/>
          <w:szCs w:val="20"/>
          <w:lang w:val="en-US"/>
        </w:rPr>
        <w:t xml:space="preserve">, </w:t>
      </w:r>
      <w:r w:rsidRPr="00AB333C">
        <w:rPr>
          <w:rFonts w:ascii="Calibri" w:hAnsi="Calibri" w:cs="Calibri"/>
          <w:szCs w:val="20"/>
          <w:lang w:val="en-US"/>
        </w:rPr>
        <w:t xml:space="preserve"> </w:t>
      </w:r>
      <w:r>
        <w:rPr>
          <w:rFonts w:ascii="Calibri" w:hAnsi="Calibri" w:cs="Calibri"/>
          <w:szCs w:val="20"/>
          <w:lang w:val="en-US"/>
        </w:rPr>
        <w:t>it has all the relevant documents and sets up the Declaration of conformity.</w:t>
      </w:r>
    </w:p>
    <w:p w14:paraId="394128B4" w14:textId="77777777" w:rsidR="00897E97" w:rsidRPr="00AB333C" w:rsidRDefault="00897E97" w:rsidP="00AB333C">
      <w:pPr>
        <w:jc w:val="both"/>
        <w:rPr>
          <w:rFonts w:ascii="Calibri" w:hAnsi="Calibri" w:cs="Calibri"/>
          <w:szCs w:val="20"/>
          <w:lang w:val="en-US"/>
        </w:rPr>
      </w:pPr>
    </w:p>
    <w:p w14:paraId="747B0F38" w14:textId="654183AA" w:rsidR="00AB333C" w:rsidRDefault="00AB333C" w:rsidP="00A05306">
      <w:pPr>
        <w:pStyle w:val="ListParagraph"/>
        <w:numPr>
          <w:ilvl w:val="0"/>
          <w:numId w:val="32"/>
        </w:numPr>
        <w:jc w:val="both"/>
        <w:rPr>
          <w:rFonts w:ascii="Calibri" w:hAnsi="Calibri" w:cs="Calibri"/>
          <w:b/>
          <w:bCs/>
          <w:szCs w:val="20"/>
          <w:u w:val="single"/>
          <w:lang w:val="en-US"/>
        </w:rPr>
      </w:pPr>
      <w:r w:rsidRPr="00A05306">
        <w:rPr>
          <w:rFonts w:ascii="Calibri" w:hAnsi="Calibri" w:cs="Calibri"/>
          <w:b/>
          <w:bCs/>
          <w:szCs w:val="20"/>
          <w:u w:val="single"/>
          <w:lang w:val="en-US"/>
        </w:rPr>
        <w:t xml:space="preserve">On the topic of </w:t>
      </w:r>
      <w:r w:rsidR="00BE53EC" w:rsidRPr="00A05306">
        <w:rPr>
          <w:rFonts w:ascii="Calibri" w:hAnsi="Calibri" w:cs="Calibri"/>
          <w:b/>
          <w:bCs/>
          <w:szCs w:val="20"/>
          <w:u w:val="single"/>
          <w:lang w:val="en-US"/>
        </w:rPr>
        <w:t>Producers &amp; Extended Producer Responsibility (Section 3)</w:t>
      </w:r>
      <w:r w:rsidRPr="00A05306">
        <w:rPr>
          <w:rFonts w:ascii="Calibri" w:hAnsi="Calibri" w:cs="Calibri"/>
          <w:b/>
          <w:bCs/>
          <w:szCs w:val="20"/>
          <w:u w:val="single"/>
          <w:lang w:val="en-US"/>
        </w:rPr>
        <w:t>:</w:t>
      </w:r>
    </w:p>
    <w:p w14:paraId="738DFC65" w14:textId="77777777" w:rsidR="00A05306" w:rsidRPr="00A05306" w:rsidRDefault="00A05306" w:rsidP="00A05306">
      <w:pPr>
        <w:pStyle w:val="ListParagraph"/>
        <w:jc w:val="both"/>
        <w:rPr>
          <w:rFonts w:ascii="Calibri" w:hAnsi="Calibri" w:cs="Calibri"/>
          <w:b/>
          <w:bCs/>
          <w:szCs w:val="20"/>
          <w:u w:val="single"/>
          <w:lang w:val="en-US"/>
        </w:rPr>
      </w:pPr>
    </w:p>
    <w:p w14:paraId="3003D8D2" w14:textId="77777777" w:rsidR="00AB333C" w:rsidRPr="0005018F" w:rsidRDefault="00AB333C" w:rsidP="0005018F">
      <w:pPr>
        <w:pStyle w:val="ListParagraph"/>
        <w:numPr>
          <w:ilvl w:val="0"/>
          <w:numId w:val="28"/>
        </w:numPr>
        <w:jc w:val="both"/>
        <w:rPr>
          <w:rFonts w:ascii="Calibri" w:hAnsi="Calibri" w:cs="Calibri"/>
          <w:szCs w:val="20"/>
          <w:lang w:val="en-US"/>
        </w:rPr>
      </w:pPr>
      <w:r w:rsidRPr="0005018F">
        <w:rPr>
          <w:rFonts w:ascii="Calibri" w:hAnsi="Calibri" w:cs="Calibri"/>
          <w:szCs w:val="20"/>
          <w:lang w:val="en-US"/>
        </w:rPr>
        <w:t>Extended Producer Responsibility (EPR) by making producers fully financially and organizationally responsible for packaging waste management, covering costs like collection, sorting, and recycling.  The PPWR mandates eco-modulated fees based on recyclability, requires producers to register and report detailed data in each Member State.  It enters into force as from August 2026.  First reporting will have to be done in August 2027.</w:t>
      </w:r>
    </w:p>
    <w:p w14:paraId="1EA1C556" w14:textId="48E87998" w:rsidR="00AB333C" w:rsidRPr="00045C31" w:rsidRDefault="00AB333C" w:rsidP="0005018F">
      <w:pPr>
        <w:pStyle w:val="ListParagraph"/>
        <w:numPr>
          <w:ilvl w:val="0"/>
          <w:numId w:val="28"/>
        </w:numPr>
        <w:jc w:val="both"/>
        <w:rPr>
          <w:rFonts w:ascii="Calibri" w:hAnsi="Calibri" w:cs="Calibri"/>
          <w:b/>
          <w:bCs/>
          <w:color w:val="A0A09B" w:themeColor="text1"/>
          <w:lang w:val="en-GB"/>
        </w:rPr>
      </w:pPr>
      <w:r w:rsidRPr="0005018F">
        <w:rPr>
          <w:rFonts w:ascii="Calibri" w:hAnsi="Calibri" w:cs="Calibri"/>
          <w:szCs w:val="20"/>
          <w:lang w:val="en-US"/>
        </w:rPr>
        <w:t>Hence, some countries might already meet the EPR target by being organized through a PRO: Producer Responsibility Organization.  VPK is member of these PROs amongst most of countries</w:t>
      </w:r>
      <w:r w:rsidR="00AF333C" w:rsidRPr="0005018F">
        <w:rPr>
          <w:rFonts w:ascii="Calibri" w:hAnsi="Calibri" w:cs="Calibri"/>
          <w:szCs w:val="20"/>
          <w:lang w:val="en-US"/>
        </w:rPr>
        <w:t xml:space="preserve"> of it operates.  </w:t>
      </w:r>
      <w:r w:rsidRPr="0005018F">
        <w:rPr>
          <w:rFonts w:ascii="Calibri" w:hAnsi="Calibri" w:cs="Calibri"/>
          <w:szCs w:val="20"/>
          <w:lang w:val="en-US"/>
        </w:rPr>
        <w:t xml:space="preserve">The Government in Denmark decided to set up a separate system to meet the EPR’s requirements.  VPK Denmark </w:t>
      </w:r>
      <w:r w:rsidRPr="00045C31">
        <w:rPr>
          <w:rFonts w:ascii="Calibri" w:hAnsi="Calibri" w:cs="Calibri"/>
          <w:szCs w:val="20"/>
          <w:lang w:val="en-US"/>
        </w:rPr>
        <w:t>did adapt to it.</w:t>
      </w:r>
      <w:r w:rsidRPr="00045C31">
        <w:rPr>
          <w:rFonts w:ascii="Calibri" w:hAnsi="Calibri" w:cs="Calibri"/>
          <w:color w:val="A0A09B" w:themeColor="text1"/>
          <w:szCs w:val="20"/>
          <w:lang w:val="en-US"/>
        </w:rPr>
        <w:t xml:space="preserve"> </w:t>
      </w:r>
      <w:r w:rsidRPr="00045C31">
        <w:rPr>
          <w:rFonts w:ascii="Calibri" w:hAnsi="Calibri" w:cs="Calibri"/>
          <w:b/>
          <w:bCs/>
          <w:color w:val="50B400" w:themeColor="accent4"/>
          <w:lang w:val="en-GB"/>
        </w:rPr>
        <w:t>VPK will comply by August 2026 on that target</w:t>
      </w:r>
      <w:r w:rsidRPr="00045C31">
        <w:rPr>
          <w:rFonts w:ascii="Calibri" w:hAnsi="Calibri" w:cs="Calibri"/>
          <w:b/>
          <w:bCs/>
          <w:color w:val="A0A09B" w:themeColor="text1"/>
          <w:lang w:val="en-GB"/>
        </w:rPr>
        <w:t xml:space="preserve">. </w:t>
      </w:r>
    </w:p>
    <w:p w14:paraId="7A7462D0" w14:textId="0E29B1DC" w:rsidR="00A648AF" w:rsidRPr="00045C31" w:rsidRDefault="00A52E7F" w:rsidP="016A85D9">
      <w:pPr>
        <w:pStyle w:val="ListParagraph"/>
        <w:numPr>
          <w:ilvl w:val="0"/>
          <w:numId w:val="28"/>
        </w:numPr>
        <w:rPr>
          <w:rFonts w:ascii="Calibri" w:hAnsi="Calibri" w:cs="Calibri"/>
          <w:lang w:val="en-US"/>
        </w:rPr>
      </w:pPr>
      <w:r w:rsidRPr="00045C31">
        <w:rPr>
          <w:rFonts w:ascii="Calibri" w:hAnsi="Calibri" w:cs="Calibri"/>
          <w:lang w:val="en-US"/>
        </w:rPr>
        <w:t xml:space="preserve">Standard corrugated box plants will only be required to report EPR data to the PROs for the transport packaging materials we use to “package” our own products: pallets, straps, wrap, bottom sheets, top sheets, interlayers, and bundle straps. </w:t>
      </w:r>
      <w:r w:rsidR="00A648AF" w:rsidRPr="00045C31">
        <w:rPr>
          <w:rFonts w:ascii="Calibri" w:hAnsi="Calibri" w:cs="Calibri"/>
          <w:lang w:val="en-US"/>
        </w:rPr>
        <w:t xml:space="preserve">This reporting must be carried out in each EU Member State and responsibility depends on the following scenarios: </w:t>
      </w:r>
    </w:p>
    <w:p w14:paraId="5D6B5F9F" w14:textId="77777777" w:rsidR="00A648AF" w:rsidRPr="00045C31" w:rsidRDefault="00A648AF" w:rsidP="00A648AF">
      <w:pPr>
        <w:pStyle w:val="ListParagraph"/>
        <w:numPr>
          <w:ilvl w:val="1"/>
          <w:numId w:val="28"/>
        </w:numPr>
        <w:rPr>
          <w:rFonts w:ascii="Calibri" w:hAnsi="Calibri" w:cs="Calibri"/>
          <w:szCs w:val="20"/>
          <w:lang w:val="en-US"/>
        </w:rPr>
      </w:pPr>
      <w:r w:rsidRPr="00045C31">
        <w:rPr>
          <w:rFonts w:ascii="Calibri" w:hAnsi="Calibri" w:cs="Calibri"/>
          <w:szCs w:val="20"/>
          <w:lang w:val="en-US"/>
        </w:rPr>
        <w:t>If the manufacturer is located in the same Member State where the packaging becomes waste, the manufacturer is considered the producer and is responsible for reporting.</w:t>
      </w:r>
    </w:p>
    <w:p w14:paraId="4A72EE98" w14:textId="77777777" w:rsidR="00A648AF" w:rsidRPr="00045C31" w:rsidRDefault="00A648AF" w:rsidP="00A648AF">
      <w:pPr>
        <w:pStyle w:val="ListParagraph"/>
        <w:numPr>
          <w:ilvl w:val="1"/>
          <w:numId w:val="28"/>
        </w:numPr>
        <w:rPr>
          <w:rFonts w:ascii="Calibri" w:hAnsi="Calibri" w:cs="Calibri"/>
          <w:szCs w:val="20"/>
          <w:lang w:val="en-US"/>
        </w:rPr>
      </w:pPr>
      <w:r w:rsidRPr="00045C31">
        <w:rPr>
          <w:rFonts w:ascii="Calibri" w:hAnsi="Calibri" w:cs="Calibri"/>
          <w:szCs w:val="20"/>
          <w:lang w:val="en-US"/>
        </w:rPr>
        <w:t>If the manufacturer is not located in the Member State where the packaging becomes waste, the producer is another company established in that Member State (e.g. distributor, importer, or unpacker), which then takes care of the reporting.</w:t>
      </w:r>
    </w:p>
    <w:p w14:paraId="11861FFD" w14:textId="18BBA353" w:rsidR="000C7D0F" w:rsidRPr="00A5609A" w:rsidRDefault="000C7D0F" w:rsidP="00A5609A">
      <w:pPr>
        <w:pStyle w:val="ListParagraph"/>
        <w:numPr>
          <w:ilvl w:val="1"/>
          <w:numId w:val="28"/>
        </w:numPr>
        <w:rPr>
          <w:rFonts w:ascii="Calibri" w:hAnsi="Calibri" w:cs="Calibri"/>
          <w:szCs w:val="20"/>
          <w:lang w:val="en-US"/>
        </w:rPr>
      </w:pPr>
      <w:r w:rsidRPr="00A5609A">
        <w:rPr>
          <w:rFonts w:ascii="Calibri" w:hAnsi="Calibri" w:cs="Calibri"/>
          <w:b/>
          <w:bCs/>
          <w:szCs w:val="20"/>
          <w:lang w:val="en-US"/>
        </w:rPr>
        <w:t>For online sales to the end-consumer</w:t>
      </w:r>
      <w:r w:rsidRPr="00A5609A">
        <w:rPr>
          <w:rFonts w:ascii="Calibri" w:hAnsi="Calibri" w:cs="Calibri"/>
          <w:szCs w:val="20"/>
          <w:lang w:val="en-US"/>
        </w:rPr>
        <w:t>, the making available on the market is in the Member State where the end-user is located.</w:t>
      </w:r>
    </w:p>
    <w:p w14:paraId="371B24C8" w14:textId="39C5B879" w:rsidR="00AB333C" w:rsidRPr="00045C31" w:rsidRDefault="00A52E7F" w:rsidP="016A85D9">
      <w:pPr>
        <w:pStyle w:val="ListParagraph"/>
        <w:numPr>
          <w:ilvl w:val="0"/>
          <w:numId w:val="28"/>
        </w:numPr>
        <w:jc w:val="both"/>
        <w:rPr>
          <w:rFonts w:ascii="Calibri" w:hAnsi="Calibri" w:cs="Calibri"/>
          <w:lang w:val="en-US"/>
        </w:rPr>
      </w:pPr>
      <w:r w:rsidRPr="00045C31">
        <w:rPr>
          <w:rFonts w:ascii="Calibri" w:hAnsi="Calibri" w:cs="Calibri"/>
          <w:lang w:val="en-US"/>
        </w:rPr>
        <w:t xml:space="preserve">We will support </w:t>
      </w:r>
      <w:r w:rsidR="00296472" w:rsidRPr="00045C31">
        <w:rPr>
          <w:rFonts w:ascii="Calibri" w:hAnsi="Calibri" w:cs="Calibri"/>
          <w:lang w:val="en-US"/>
        </w:rPr>
        <w:t xml:space="preserve">customers </w:t>
      </w:r>
      <w:r w:rsidRPr="00045C31">
        <w:rPr>
          <w:rFonts w:ascii="Calibri" w:hAnsi="Calibri" w:cs="Calibri"/>
          <w:lang w:val="en-US"/>
        </w:rPr>
        <w:t>by providing the required data (weight, recyclability, recycled content, etc.).</w:t>
      </w:r>
    </w:p>
    <w:p w14:paraId="0C361963" w14:textId="77777777" w:rsidR="004701F3" w:rsidRDefault="004701F3" w:rsidP="00AB333C">
      <w:pPr>
        <w:jc w:val="both"/>
        <w:rPr>
          <w:rFonts w:ascii="Calibri" w:hAnsi="Calibri" w:cs="Calibri"/>
          <w:b/>
          <w:bCs/>
          <w:szCs w:val="20"/>
          <w:lang w:val="en-US"/>
        </w:rPr>
      </w:pPr>
    </w:p>
    <w:p w14:paraId="275EE945" w14:textId="0776BD92" w:rsidR="00AB333C" w:rsidRDefault="00AB333C" w:rsidP="00A05306">
      <w:pPr>
        <w:pStyle w:val="ListParagraph"/>
        <w:numPr>
          <w:ilvl w:val="0"/>
          <w:numId w:val="32"/>
        </w:numPr>
        <w:jc w:val="both"/>
        <w:rPr>
          <w:rFonts w:ascii="Calibri" w:hAnsi="Calibri" w:cs="Calibri"/>
          <w:b/>
          <w:bCs/>
          <w:szCs w:val="20"/>
          <w:u w:val="single"/>
          <w:lang w:val="en-US"/>
        </w:rPr>
      </w:pPr>
      <w:r w:rsidRPr="00A05306">
        <w:rPr>
          <w:rFonts w:ascii="Calibri" w:hAnsi="Calibri" w:cs="Calibri"/>
          <w:b/>
          <w:bCs/>
          <w:szCs w:val="20"/>
          <w:u w:val="single"/>
          <w:lang w:val="en-US"/>
        </w:rPr>
        <w:t>Other remaining targets on the longer term within PPWR:</w:t>
      </w:r>
    </w:p>
    <w:p w14:paraId="77F233BF" w14:textId="77777777" w:rsidR="00A05306" w:rsidRPr="00A05306" w:rsidRDefault="00A05306" w:rsidP="00A05306">
      <w:pPr>
        <w:pStyle w:val="ListParagraph"/>
        <w:jc w:val="both"/>
        <w:rPr>
          <w:rFonts w:ascii="Calibri" w:hAnsi="Calibri" w:cs="Calibri"/>
          <w:b/>
          <w:bCs/>
          <w:szCs w:val="20"/>
          <w:u w:val="single"/>
          <w:lang w:val="en-US"/>
        </w:rPr>
      </w:pPr>
    </w:p>
    <w:p w14:paraId="7F27C305" w14:textId="711C79AB" w:rsidR="00AB333C" w:rsidRPr="00BE53EC" w:rsidRDefault="00BE53EC" w:rsidP="00BE53EC">
      <w:pPr>
        <w:pStyle w:val="ListParagraph"/>
        <w:numPr>
          <w:ilvl w:val="0"/>
          <w:numId w:val="21"/>
        </w:numPr>
        <w:jc w:val="both"/>
        <w:rPr>
          <w:rFonts w:ascii="Calibri" w:hAnsi="Calibri" w:cs="Calibri"/>
          <w:szCs w:val="20"/>
          <w:lang w:val="en-GB"/>
        </w:rPr>
      </w:pPr>
      <w:r w:rsidRPr="00BE53EC">
        <w:rPr>
          <w:rFonts w:ascii="Calibri" w:hAnsi="Calibri" w:cs="Calibri"/>
          <w:b/>
          <w:bCs/>
          <w:szCs w:val="20"/>
          <w:lang w:val="en-GB"/>
        </w:rPr>
        <w:t>Recyclability of packaging (Article 6)</w:t>
      </w:r>
      <w:r w:rsidR="00AB333C" w:rsidRPr="00A13C61">
        <w:rPr>
          <w:rFonts w:ascii="Calibri" w:hAnsi="Calibri" w:cs="Calibri"/>
          <w:szCs w:val="20"/>
          <w:lang w:val="en-GB"/>
        </w:rPr>
        <w:t xml:space="preserve">: </w:t>
      </w:r>
      <w:r w:rsidR="00AB333C" w:rsidRPr="00BE53EC">
        <w:rPr>
          <w:rFonts w:ascii="Calibri" w:hAnsi="Calibri" w:cs="Calibri"/>
          <w:szCs w:val="20"/>
          <w:lang w:val="en-GB"/>
        </w:rPr>
        <w:t>Corrugated packaging shall be recyclable by 2030 and respect the recyclability assessment criteria currently elaborated under the secondary legislation.  This is no issue for VPK Corrugated, except for PE-coated products</w:t>
      </w:r>
      <w:r w:rsidR="00370135" w:rsidRPr="00BE53EC">
        <w:rPr>
          <w:rFonts w:ascii="Calibri" w:hAnsi="Calibri" w:cs="Calibri"/>
          <w:szCs w:val="20"/>
          <w:lang w:val="en-GB"/>
        </w:rPr>
        <w:t>.</w:t>
      </w:r>
    </w:p>
    <w:p w14:paraId="3371978B" w14:textId="2DA71E3D" w:rsidR="00AB333C" w:rsidRPr="00DE0DA2" w:rsidRDefault="00BE53EC" w:rsidP="00AB333C">
      <w:pPr>
        <w:pStyle w:val="ListParagraph"/>
        <w:numPr>
          <w:ilvl w:val="0"/>
          <w:numId w:val="21"/>
        </w:numPr>
        <w:jc w:val="both"/>
        <w:rPr>
          <w:rFonts w:ascii="Calibri" w:hAnsi="Calibri" w:cs="Calibri"/>
          <w:b/>
          <w:bCs/>
          <w:color w:val="50B400" w:themeColor="accent4"/>
          <w:szCs w:val="20"/>
          <w:lang w:val="en-GB"/>
        </w:rPr>
      </w:pPr>
      <w:r w:rsidRPr="00BE53EC">
        <w:rPr>
          <w:rFonts w:ascii="Calibri" w:hAnsi="Calibri" w:cs="Calibri"/>
          <w:b/>
          <w:bCs/>
          <w:szCs w:val="20"/>
          <w:lang w:val="en-GB"/>
        </w:rPr>
        <w:t>Packaging Minimisation &amp; Empty Space Ratio (Articles 10 and 24)</w:t>
      </w:r>
      <w:r w:rsidR="00AB333C" w:rsidRPr="00AB333C">
        <w:rPr>
          <w:rFonts w:ascii="Calibri" w:hAnsi="Calibri" w:cs="Calibri"/>
          <w:szCs w:val="20"/>
          <w:lang w:val="en-GB"/>
        </w:rPr>
        <w:t>: The regulation promotes the design of packaging that minimises material use and ensures grouped packaging; transport-, grouped packaging or e-</w:t>
      </w:r>
      <w:r w:rsidR="00AB333C" w:rsidRPr="00AB333C">
        <w:rPr>
          <w:rFonts w:ascii="Calibri" w:hAnsi="Calibri" w:cs="Calibri"/>
          <w:szCs w:val="20"/>
          <w:lang w:val="en-GB"/>
        </w:rPr>
        <w:lastRenderedPageBreak/>
        <w:t>commerce packaging should have a maximum empty space ratio of 50 % from 2030. Sales packaging will have the 50 % restriction from 2028.  This is included in VPK’s box design process with customers.</w:t>
      </w:r>
      <w:r w:rsidR="00DE0DA2">
        <w:rPr>
          <w:rFonts w:ascii="Calibri" w:hAnsi="Calibri" w:cs="Calibri"/>
          <w:szCs w:val="20"/>
          <w:lang w:val="en-GB"/>
        </w:rPr>
        <w:t xml:space="preserve"> </w:t>
      </w:r>
      <w:r w:rsidR="00DE0DA2" w:rsidRPr="00DE0DA2">
        <w:rPr>
          <w:rFonts w:ascii="Calibri" w:hAnsi="Calibri" w:cs="Calibri"/>
          <w:b/>
          <w:bCs/>
          <w:color w:val="50B400" w:themeColor="accent4"/>
          <w:szCs w:val="20"/>
          <w:lang w:val="en-GB"/>
        </w:rPr>
        <w:t>VPK supports his customers in developing packaging that meet this requirement.</w:t>
      </w:r>
    </w:p>
    <w:p w14:paraId="27CF8BBC" w14:textId="756D5A30" w:rsidR="00AB333C" w:rsidRPr="00AB333C" w:rsidRDefault="00BE53EC" w:rsidP="00AB333C">
      <w:pPr>
        <w:pStyle w:val="ListParagraph"/>
        <w:numPr>
          <w:ilvl w:val="0"/>
          <w:numId w:val="21"/>
        </w:numPr>
        <w:jc w:val="both"/>
        <w:rPr>
          <w:rFonts w:ascii="Calibri" w:hAnsi="Calibri" w:cs="Calibri"/>
          <w:szCs w:val="20"/>
          <w:lang w:val="en-GB"/>
        </w:rPr>
      </w:pPr>
      <w:r w:rsidRPr="00BE53EC">
        <w:rPr>
          <w:rFonts w:ascii="Calibri" w:hAnsi="Calibri" w:cs="Calibri"/>
          <w:b/>
          <w:bCs/>
          <w:szCs w:val="20"/>
          <w:lang w:val="en-GB"/>
        </w:rPr>
        <w:t>Reusable transport packaging and reuse targets</w:t>
      </w:r>
      <w:r w:rsidR="00AB333C" w:rsidRPr="00AB333C">
        <w:rPr>
          <w:rFonts w:ascii="Calibri" w:hAnsi="Calibri" w:cs="Calibri"/>
          <w:szCs w:val="20"/>
          <w:lang w:val="en-GB"/>
        </w:rPr>
        <w:t xml:space="preserve">: </w:t>
      </w:r>
      <w:r w:rsidRPr="00BE53EC">
        <w:rPr>
          <w:rFonts w:ascii="Calibri" w:hAnsi="Calibri" w:cs="Calibri"/>
          <w:szCs w:val="20"/>
          <w:lang w:val="en-GB"/>
        </w:rPr>
        <w:t>Cardboard boxes are fully exempt from reuse targets under Article 29</w:t>
      </w:r>
      <w:r w:rsidR="00AB333C" w:rsidRPr="00AB333C">
        <w:rPr>
          <w:rFonts w:ascii="Calibri" w:hAnsi="Calibri" w:cs="Calibri"/>
          <w:szCs w:val="20"/>
          <w:lang w:val="en-GB"/>
        </w:rPr>
        <w:t xml:space="preserve">, but other transport packaging types are in the scope. Companies will have to comply with the reuse targets for their own packaging or logistic system. </w:t>
      </w:r>
      <w:r w:rsidR="00DE0DA2">
        <w:rPr>
          <w:rFonts w:ascii="Calibri" w:hAnsi="Calibri" w:cs="Calibri"/>
          <w:szCs w:val="20"/>
          <w:lang w:val="en-GB"/>
        </w:rPr>
        <w:t>However, b</w:t>
      </w:r>
      <w:r w:rsidR="00AB333C" w:rsidRPr="00AB333C">
        <w:rPr>
          <w:rFonts w:ascii="Calibri" w:hAnsi="Calibri" w:cs="Calibri"/>
          <w:szCs w:val="20"/>
          <w:lang w:val="en-GB"/>
        </w:rPr>
        <w:t xml:space="preserve">y 2030 </w:t>
      </w:r>
      <w:r w:rsidRPr="00DE0DA2">
        <w:rPr>
          <w:rFonts w:ascii="Calibri" w:hAnsi="Calibri" w:cs="Calibri"/>
          <w:szCs w:val="20"/>
          <w:lang w:val="en-GB"/>
        </w:rPr>
        <w:t>100</w:t>
      </w:r>
      <w:r w:rsidR="00AB333C" w:rsidRPr="00DE0DA2">
        <w:rPr>
          <w:rFonts w:ascii="Calibri" w:hAnsi="Calibri" w:cs="Calibri"/>
          <w:szCs w:val="20"/>
          <w:lang w:val="en-GB"/>
        </w:rPr>
        <w:t>% of pallets</w:t>
      </w:r>
      <w:r w:rsidR="00AB333C" w:rsidRPr="00DE0DA2">
        <w:rPr>
          <w:rFonts w:ascii="Calibri" w:hAnsi="Calibri" w:cs="Calibri"/>
          <w:color w:val="50B400" w:themeColor="accent4"/>
          <w:szCs w:val="20"/>
          <w:lang w:val="en-GB"/>
        </w:rPr>
        <w:t xml:space="preserve"> </w:t>
      </w:r>
      <w:r w:rsidR="00AB333C" w:rsidRPr="00AB333C">
        <w:rPr>
          <w:rFonts w:ascii="Calibri" w:hAnsi="Calibri" w:cs="Calibri"/>
          <w:szCs w:val="20"/>
          <w:lang w:val="en-GB"/>
        </w:rPr>
        <w:t>will be required to be reused (for example, through a pooling or return system)</w:t>
      </w:r>
      <w:r w:rsidR="007D1D61">
        <w:rPr>
          <w:rFonts w:ascii="Calibri" w:hAnsi="Calibri" w:cs="Calibri"/>
          <w:szCs w:val="20"/>
          <w:lang w:val="en-GB"/>
        </w:rPr>
        <w:t xml:space="preserve"> for deliveries in same member state</w:t>
      </w:r>
      <w:r w:rsidR="00AB333C" w:rsidRPr="00AB333C">
        <w:rPr>
          <w:rFonts w:ascii="Calibri" w:hAnsi="Calibri" w:cs="Calibri"/>
          <w:szCs w:val="20"/>
          <w:lang w:val="en-GB"/>
        </w:rPr>
        <w:t xml:space="preserve">. Straps and wraps </w:t>
      </w:r>
      <w:r w:rsidR="007D1D61">
        <w:rPr>
          <w:rFonts w:ascii="Calibri" w:hAnsi="Calibri" w:cs="Calibri"/>
          <w:szCs w:val="20"/>
          <w:lang w:val="en-GB"/>
        </w:rPr>
        <w:t>are</w:t>
      </w:r>
      <w:r w:rsidR="00AB333C" w:rsidRPr="00AB333C">
        <w:rPr>
          <w:rFonts w:ascii="Calibri" w:hAnsi="Calibri" w:cs="Calibri"/>
          <w:szCs w:val="20"/>
          <w:lang w:val="en-GB"/>
        </w:rPr>
        <w:t xml:space="preserve"> exempt from the reuse requirement.</w:t>
      </w:r>
    </w:p>
    <w:p w14:paraId="603075C6" w14:textId="57765708" w:rsidR="00AB333C" w:rsidRPr="00AB333C" w:rsidRDefault="00BE53EC" w:rsidP="00AB333C">
      <w:pPr>
        <w:pStyle w:val="ListParagraph"/>
        <w:numPr>
          <w:ilvl w:val="0"/>
          <w:numId w:val="21"/>
        </w:numPr>
        <w:jc w:val="both"/>
        <w:rPr>
          <w:rFonts w:ascii="Calibri" w:hAnsi="Calibri" w:cs="Calibri"/>
          <w:szCs w:val="20"/>
          <w:lang w:val="en-GB"/>
        </w:rPr>
      </w:pPr>
      <w:r w:rsidRPr="00BE53EC">
        <w:rPr>
          <w:rFonts w:ascii="Calibri" w:hAnsi="Calibri" w:cs="Calibri"/>
          <w:b/>
          <w:bCs/>
          <w:szCs w:val="20"/>
          <w:lang w:val="en-GB"/>
        </w:rPr>
        <w:t>Harmonised Labelling (Articles 12 and 13)</w:t>
      </w:r>
      <w:r w:rsidR="00AB333C" w:rsidRPr="00AB333C">
        <w:rPr>
          <w:rFonts w:ascii="Calibri" w:hAnsi="Calibri" w:cs="Calibri"/>
          <w:b/>
          <w:bCs/>
          <w:szCs w:val="20"/>
          <w:lang w:val="en-GB"/>
        </w:rPr>
        <w:t>:</w:t>
      </w:r>
      <w:r w:rsidR="00AB333C" w:rsidRPr="00AB333C">
        <w:rPr>
          <w:rFonts w:ascii="Calibri" w:hAnsi="Calibri" w:cs="Calibri"/>
          <w:szCs w:val="20"/>
          <w:lang w:val="en-GB"/>
        </w:rPr>
        <w:t xml:space="preserve"> </w:t>
      </w:r>
      <w:r w:rsidR="005215E7" w:rsidRPr="005215E7">
        <w:rPr>
          <w:rFonts w:ascii="Calibri" w:hAnsi="Calibri" w:cs="Calibri"/>
          <w:szCs w:val="20"/>
          <w:lang w:val="en-GB"/>
        </w:rPr>
        <w:t>as of 12 August 2028, all packaging that reaches final customers must carry a specific, defined label indicating recyclability, substances of concern, compostability, and other required information.</w:t>
      </w:r>
    </w:p>
    <w:p w14:paraId="43F33D7D" w14:textId="63F220C4" w:rsidR="002548D0" w:rsidRPr="00AB333C" w:rsidRDefault="002548D0" w:rsidP="00AB333C">
      <w:pPr>
        <w:jc w:val="both"/>
        <w:rPr>
          <w:rFonts w:ascii="Calibri" w:hAnsi="Calibri" w:cs="Calibri"/>
          <w:szCs w:val="20"/>
          <w:lang w:val="en-GB"/>
        </w:rPr>
      </w:pPr>
    </w:p>
    <w:sectPr w:rsidR="002548D0" w:rsidRPr="00AB333C" w:rsidSect="00766A4A">
      <w:headerReference w:type="default" r:id="rId12"/>
      <w:footerReference w:type="default" r:id="rId13"/>
      <w:pgSz w:w="11906" w:h="16838" w:code="9"/>
      <w:pgMar w:top="1985" w:right="1134" w:bottom="1985"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8CCA5" w14:textId="77777777" w:rsidR="00E10FF8" w:rsidRDefault="00E10FF8" w:rsidP="00445CE8">
      <w:r>
        <w:separator/>
      </w:r>
    </w:p>
  </w:endnote>
  <w:endnote w:type="continuationSeparator" w:id="0">
    <w:p w14:paraId="76934462" w14:textId="77777777" w:rsidR="00E10FF8" w:rsidRDefault="00E10FF8" w:rsidP="0044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1B24" w14:textId="3C6A6451" w:rsidR="00C05C45" w:rsidRPr="008F0A8E" w:rsidRDefault="00C05C45" w:rsidP="008F0A8E">
    <w:pPr>
      <w:pStyle w:val="Footer"/>
    </w:pPr>
  </w:p>
  <w:p w14:paraId="0C962659" w14:textId="77777777" w:rsidR="00445CE8" w:rsidRPr="008F0A8E" w:rsidRDefault="00A041CC" w:rsidP="008F0A8E">
    <w:pPr>
      <w:pStyle w:val="Footer"/>
    </w:pPr>
    <w:r w:rsidRPr="008F0A8E">
      <w:rPr>
        <w:noProof/>
      </w:rPr>
      <w:drawing>
        <wp:anchor distT="0" distB="0" distL="114300" distR="114300" simplePos="0" relativeHeight="251658240" behindDoc="0" locked="1" layoutInCell="1" allowOverlap="0" wp14:anchorId="026F2522" wp14:editId="7CF02BF7">
          <wp:simplePos x="0" y="0"/>
          <wp:positionH relativeFrom="page">
            <wp:posOffset>540385</wp:posOffset>
          </wp:positionH>
          <wp:positionV relativeFrom="page">
            <wp:posOffset>9570085</wp:posOffset>
          </wp:positionV>
          <wp:extent cx="6479540" cy="165100"/>
          <wp:effectExtent l="0" t="0" r="0" b="6350"/>
          <wp:wrapNone/>
          <wp:docPr id="396176479" name="Picture 396176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_img-no_bleed_2.png"/>
                  <pic:cNvPicPr/>
                </pic:nvPicPr>
                <pic:blipFill>
                  <a:blip r:embed="rId1">
                    <a:extLst>
                      <a:ext uri="{28A0092B-C50C-407E-A947-70E740481C1C}">
                        <a14:useLocalDpi xmlns:a14="http://schemas.microsoft.com/office/drawing/2010/main" val="0"/>
                      </a:ext>
                    </a:extLst>
                  </a:blip>
                  <a:stretch>
                    <a:fillRect/>
                  </a:stretch>
                </pic:blipFill>
                <pic:spPr>
                  <a:xfrm>
                    <a:off x="0" y="0"/>
                    <a:ext cx="6479540" cy="1651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CDDCD" w14:textId="77777777" w:rsidR="00E10FF8" w:rsidRDefault="00E10FF8" w:rsidP="00445CE8">
      <w:r>
        <w:separator/>
      </w:r>
    </w:p>
  </w:footnote>
  <w:footnote w:type="continuationSeparator" w:id="0">
    <w:p w14:paraId="25238539" w14:textId="77777777" w:rsidR="00E10FF8" w:rsidRDefault="00E10FF8" w:rsidP="00445CE8">
      <w:r>
        <w:continuationSeparator/>
      </w:r>
    </w:p>
  </w:footnote>
  <w:footnote w:id="1">
    <w:p w14:paraId="688D4A3D" w14:textId="77777777" w:rsidR="00271F66" w:rsidRPr="00FB588F" w:rsidRDefault="00271F66" w:rsidP="00271F66">
      <w:pPr>
        <w:pStyle w:val="FootnoteText"/>
        <w:rPr>
          <w:lang w:val="en-US"/>
        </w:rPr>
      </w:pPr>
      <w:r>
        <w:rPr>
          <w:rStyle w:val="FootnoteReference"/>
        </w:rPr>
        <w:footnoteRef/>
      </w:r>
      <w:r w:rsidRPr="00FB588F">
        <w:rPr>
          <w:lang w:val="en-US"/>
        </w:rPr>
        <w:t xml:space="preserve"> </w:t>
      </w:r>
      <w:r w:rsidRPr="00A84CC8">
        <w:rPr>
          <w:rFonts w:ascii="Calibri" w:hAnsi="Calibri" w:cs="Calibri"/>
          <w:sz w:val="18"/>
          <w:szCs w:val="18"/>
          <w:lang w:val="en-US"/>
        </w:rPr>
        <w:t>VPK Alizay Paper SAS, VPK Paper NV and Blue Paper 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BED0" w14:textId="2DCC0127" w:rsidR="003C4256" w:rsidRPr="003C4256" w:rsidRDefault="003C4256" w:rsidP="00766A4A">
    <w:pPr>
      <w:pStyle w:val="Header"/>
    </w:pPr>
    <w:r w:rsidRPr="003C4256">
      <w:rPr>
        <w:noProof/>
      </w:rPr>
      <w:drawing>
        <wp:anchor distT="0" distB="0" distL="114300" distR="114300" simplePos="0" relativeHeight="251658242" behindDoc="0" locked="1" layoutInCell="1" allowOverlap="0" wp14:anchorId="423196B6" wp14:editId="036F9C63">
          <wp:simplePos x="0" y="0"/>
          <wp:positionH relativeFrom="page">
            <wp:posOffset>543560</wp:posOffset>
          </wp:positionH>
          <wp:positionV relativeFrom="page">
            <wp:posOffset>540385</wp:posOffset>
          </wp:positionV>
          <wp:extent cx="1260000" cy="694800"/>
          <wp:effectExtent l="0" t="0" r="0" b="0"/>
          <wp:wrapNone/>
          <wp:docPr id="1769124531" name="Picture 1769124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ile-rgb.jpg"/>
                  <pic:cNvPicPr/>
                </pic:nvPicPr>
                <pic:blipFill>
                  <a:blip r:embed="rId1">
                    <a:extLst>
                      <a:ext uri="{28A0092B-C50C-407E-A947-70E740481C1C}">
                        <a14:useLocalDpi xmlns:a14="http://schemas.microsoft.com/office/drawing/2010/main" val="0"/>
                      </a:ext>
                    </a:extLst>
                  </a:blip>
                  <a:stretch>
                    <a:fillRect/>
                  </a:stretch>
                </pic:blipFill>
                <pic:spPr>
                  <a:xfrm>
                    <a:off x="0" y="0"/>
                    <a:ext cx="1260000" cy="694800"/>
                  </a:xfrm>
                  <a:prstGeom prst="rect">
                    <a:avLst/>
                  </a:prstGeom>
                </pic:spPr>
              </pic:pic>
            </a:graphicData>
          </a:graphic>
          <wp14:sizeRelH relativeFrom="margin">
            <wp14:pctWidth>0</wp14:pctWidth>
          </wp14:sizeRelH>
          <wp14:sizeRelV relativeFrom="margin">
            <wp14:pctHeight>0</wp14:pctHeight>
          </wp14:sizeRelV>
        </wp:anchor>
      </w:drawing>
    </w:r>
  </w:p>
  <w:p w14:paraId="05D8210F" w14:textId="77777777" w:rsidR="003C4256" w:rsidRPr="003C4256" w:rsidRDefault="003C4256" w:rsidP="003C4256">
    <w:pPr>
      <w:pStyle w:val="Header"/>
    </w:pPr>
  </w:p>
  <w:p w14:paraId="4F78FAB7" w14:textId="77777777" w:rsidR="00766A4A" w:rsidRDefault="00766A4A" w:rsidP="00766A4A">
    <w:pPr>
      <w:pStyle w:val="Header"/>
      <w:rPr>
        <w:color w:val="808080" w:themeColor="background1" w:themeShade="80"/>
      </w:rPr>
    </w:pPr>
  </w:p>
  <w:p w14:paraId="6F371625" w14:textId="77777777" w:rsidR="00766A4A" w:rsidRDefault="00766A4A" w:rsidP="00766A4A">
    <w:pPr>
      <w:pStyle w:val="Header"/>
      <w:rPr>
        <w:color w:val="808080" w:themeColor="background1" w:themeShade="80"/>
      </w:rPr>
    </w:pPr>
  </w:p>
  <w:p w14:paraId="2F597736" w14:textId="77777777" w:rsidR="00447EF6" w:rsidRPr="00FE2162" w:rsidRDefault="000C39FE" w:rsidP="00766A4A">
    <w:pPr>
      <w:pStyle w:val="Header"/>
      <w:ind w:right="-285"/>
      <w:rPr>
        <w:rFonts w:ascii="Calibri" w:hAnsi="Calibri" w:cs="Calibri"/>
        <w:noProof/>
        <w:color w:val="808080" w:themeColor="background1" w:themeShade="80"/>
      </w:rPr>
    </w:pPr>
    <w:r w:rsidRPr="00FE2162">
      <w:rPr>
        <w:rFonts w:ascii="Calibri" w:hAnsi="Calibri" w:cs="Calibri"/>
        <w:color w:val="808080" w:themeColor="background1" w:themeShade="80"/>
      </w:rPr>
      <w:t xml:space="preserve">p. </w:t>
    </w:r>
    <w:r w:rsidRPr="00FE2162">
      <w:rPr>
        <w:rFonts w:ascii="Calibri" w:hAnsi="Calibri" w:cs="Calibri"/>
        <w:color w:val="808080" w:themeColor="background1" w:themeShade="80"/>
      </w:rPr>
      <w:fldChar w:fldCharType="begin"/>
    </w:r>
    <w:r w:rsidRPr="00FE2162">
      <w:rPr>
        <w:rFonts w:ascii="Calibri" w:hAnsi="Calibri" w:cs="Calibri"/>
        <w:color w:val="808080" w:themeColor="background1" w:themeShade="80"/>
      </w:rPr>
      <w:instrText xml:space="preserve"> PAGE   \* MERGEFORMAT </w:instrText>
    </w:r>
    <w:r w:rsidRPr="00FE2162">
      <w:rPr>
        <w:rFonts w:ascii="Calibri" w:hAnsi="Calibri" w:cs="Calibri"/>
        <w:color w:val="808080" w:themeColor="background1" w:themeShade="80"/>
      </w:rPr>
      <w:fldChar w:fldCharType="separate"/>
    </w:r>
    <w:r w:rsidR="001E0924">
      <w:rPr>
        <w:rFonts w:ascii="Calibri" w:hAnsi="Calibri" w:cs="Calibri"/>
        <w:noProof/>
        <w:color w:val="808080" w:themeColor="background1" w:themeShade="80"/>
      </w:rPr>
      <w:t>1</w:t>
    </w:r>
    <w:r w:rsidRPr="00FE2162">
      <w:rPr>
        <w:rFonts w:ascii="Calibri" w:hAnsi="Calibri" w:cs="Calibri"/>
        <w:noProof/>
        <w:color w:val="808080" w:themeColor="background1" w:themeShade="80"/>
      </w:rPr>
      <w:fldChar w:fldCharType="end"/>
    </w:r>
  </w:p>
  <w:p w14:paraId="163F3081" w14:textId="77777777" w:rsidR="00762993" w:rsidRPr="000C39FE" w:rsidRDefault="00762993" w:rsidP="00762993">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59A"/>
    <w:multiLevelType w:val="hybridMultilevel"/>
    <w:tmpl w:val="2048B250"/>
    <w:lvl w:ilvl="0" w:tplc="FDD22F3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A9112D"/>
    <w:multiLevelType w:val="hybridMultilevel"/>
    <w:tmpl w:val="EDE86DC6"/>
    <w:lvl w:ilvl="0" w:tplc="525CE776">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92A308F"/>
    <w:multiLevelType w:val="hybridMultilevel"/>
    <w:tmpl w:val="CDEA3200"/>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52250F"/>
    <w:multiLevelType w:val="hybridMultilevel"/>
    <w:tmpl w:val="FFFFFFFF"/>
    <w:lvl w:ilvl="0" w:tplc="C0E0D328">
      <w:start w:val="1"/>
      <w:numFmt w:val="decimal"/>
      <w:lvlText w:val="%1."/>
      <w:lvlJc w:val="left"/>
      <w:pPr>
        <w:ind w:left="720" w:hanging="360"/>
      </w:pPr>
    </w:lvl>
    <w:lvl w:ilvl="1" w:tplc="63229018">
      <w:start w:val="1"/>
      <w:numFmt w:val="lowerLetter"/>
      <w:lvlText w:val="%2."/>
      <w:lvlJc w:val="left"/>
      <w:pPr>
        <w:ind w:left="1800" w:hanging="360"/>
      </w:pPr>
    </w:lvl>
    <w:lvl w:ilvl="2" w:tplc="93800198">
      <w:start w:val="1"/>
      <w:numFmt w:val="lowerRoman"/>
      <w:lvlText w:val="%3."/>
      <w:lvlJc w:val="right"/>
      <w:pPr>
        <w:ind w:left="2520" w:hanging="180"/>
      </w:pPr>
    </w:lvl>
    <w:lvl w:ilvl="3" w:tplc="8CD07712">
      <w:start w:val="1"/>
      <w:numFmt w:val="decimal"/>
      <w:lvlText w:val="%4."/>
      <w:lvlJc w:val="left"/>
      <w:pPr>
        <w:ind w:left="3240" w:hanging="360"/>
      </w:pPr>
    </w:lvl>
    <w:lvl w:ilvl="4" w:tplc="6D92EA20">
      <w:start w:val="1"/>
      <w:numFmt w:val="lowerLetter"/>
      <w:lvlText w:val="%5."/>
      <w:lvlJc w:val="left"/>
      <w:pPr>
        <w:ind w:left="3960" w:hanging="360"/>
      </w:pPr>
    </w:lvl>
    <w:lvl w:ilvl="5" w:tplc="7DAE0180">
      <w:start w:val="1"/>
      <w:numFmt w:val="lowerRoman"/>
      <w:lvlText w:val="%6."/>
      <w:lvlJc w:val="right"/>
      <w:pPr>
        <w:ind w:left="4680" w:hanging="180"/>
      </w:pPr>
    </w:lvl>
    <w:lvl w:ilvl="6" w:tplc="CEA66982">
      <w:start w:val="1"/>
      <w:numFmt w:val="decimal"/>
      <w:lvlText w:val="%7."/>
      <w:lvlJc w:val="left"/>
      <w:pPr>
        <w:ind w:left="5400" w:hanging="360"/>
      </w:pPr>
    </w:lvl>
    <w:lvl w:ilvl="7" w:tplc="23EC61C8">
      <w:start w:val="1"/>
      <w:numFmt w:val="lowerLetter"/>
      <w:lvlText w:val="%8."/>
      <w:lvlJc w:val="left"/>
      <w:pPr>
        <w:ind w:left="6120" w:hanging="360"/>
      </w:pPr>
    </w:lvl>
    <w:lvl w:ilvl="8" w:tplc="A6267CF2">
      <w:start w:val="1"/>
      <w:numFmt w:val="lowerRoman"/>
      <w:lvlText w:val="%9."/>
      <w:lvlJc w:val="right"/>
      <w:pPr>
        <w:ind w:left="6840" w:hanging="180"/>
      </w:pPr>
    </w:lvl>
  </w:abstractNum>
  <w:abstractNum w:abstractNumId="4" w15:restartNumberingAfterBreak="0">
    <w:nsid w:val="125A39E4"/>
    <w:multiLevelType w:val="hybridMultilevel"/>
    <w:tmpl w:val="28CCA4FA"/>
    <w:lvl w:ilvl="0" w:tplc="2FF2BC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5E0775"/>
    <w:multiLevelType w:val="hybridMultilevel"/>
    <w:tmpl w:val="9E907BD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345462C"/>
    <w:multiLevelType w:val="hybridMultilevel"/>
    <w:tmpl w:val="7CC048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AD3204"/>
    <w:multiLevelType w:val="hybridMultilevel"/>
    <w:tmpl w:val="FCEEC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2C2604"/>
    <w:multiLevelType w:val="hybridMultilevel"/>
    <w:tmpl w:val="4A4A511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5676C07"/>
    <w:multiLevelType w:val="multilevel"/>
    <w:tmpl w:val="4E8C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F52638"/>
    <w:multiLevelType w:val="hybridMultilevel"/>
    <w:tmpl w:val="F0467658"/>
    <w:lvl w:ilvl="0" w:tplc="6816724E">
      <w:start w:val="1"/>
      <w:numFmt w:val="bullet"/>
      <w:lvlText w:val="•"/>
      <w:lvlJc w:val="left"/>
      <w:pPr>
        <w:tabs>
          <w:tab w:val="num" w:pos="720"/>
        </w:tabs>
        <w:ind w:left="720" w:hanging="360"/>
      </w:pPr>
      <w:rPr>
        <w:rFonts w:ascii="Arial" w:hAnsi="Arial" w:hint="default"/>
      </w:rPr>
    </w:lvl>
    <w:lvl w:ilvl="1" w:tplc="B984B3A2">
      <w:start w:val="1"/>
      <w:numFmt w:val="bullet"/>
      <w:lvlText w:val="•"/>
      <w:lvlJc w:val="left"/>
      <w:pPr>
        <w:tabs>
          <w:tab w:val="num" w:pos="1440"/>
        </w:tabs>
        <w:ind w:left="1440" w:hanging="360"/>
      </w:pPr>
      <w:rPr>
        <w:rFonts w:ascii="Arial" w:hAnsi="Arial" w:hint="default"/>
      </w:rPr>
    </w:lvl>
    <w:lvl w:ilvl="2" w:tplc="EA3CBC9C">
      <w:numFmt w:val="bullet"/>
      <w:lvlText w:val="•"/>
      <w:lvlJc w:val="left"/>
      <w:pPr>
        <w:tabs>
          <w:tab w:val="num" w:pos="2160"/>
        </w:tabs>
        <w:ind w:left="2160" w:hanging="360"/>
      </w:pPr>
      <w:rPr>
        <w:rFonts w:ascii="Arial" w:hAnsi="Arial" w:hint="default"/>
      </w:rPr>
    </w:lvl>
    <w:lvl w:ilvl="3" w:tplc="241EEA14" w:tentative="1">
      <w:start w:val="1"/>
      <w:numFmt w:val="bullet"/>
      <w:lvlText w:val="•"/>
      <w:lvlJc w:val="left"/>
      <w:pPr>
        <w:tabs>
          <w:tab w:val="num" w:pos="2880"/>
        </w:tabs>
        <w:ind w:left="2880" w:hanging="360"/>
      </w:pPr>
      <w:rPr>
        <w:rFonts w:ascii="Arial" w:hAnsi="Arial" w:hint="default"/>
      </w:rPr>
    </w:lvl>
    <w:lvl w:ilvl="4" w:tplc="8F1EED04" w:tentative="1">
      <w:start w:val="1"/>
      <w:numFmt w:val="bullet"/>
      <w:lvlText w:val="•"/>
      <w:lvlJc w:val="left"/>
      <w:pPr>
        <w:tabs>
          <w:tab w:val="num" w:pos="3600"/>
        </w:tabs>
        <w:ind w:left="3600" w:hanging="360"/>
      </w:pPr>
      <w:rPr>
        <w:rFonts w:ascii="Arial" w:hAnsi="Arial" w:hint="default"/>
      </w:rPr>
    </w:lvl>
    <w:lvl w:ilvl="5" w:tplc="2FFE7166" w:tentative="1">
      <w:start w:val="1"/>
      <w:numFmt w:val="bullet"/>
      <w:lvlText w:val="•"/>
      <w:lvlJc w:val="left"/>
      <w:pPr>
        <w:tabs>
          <w:tab w:val="num" w:pos="4320"/>
        </w:tabs>
        <w:ind w:left="4320" w:hanging="360"/>
      </w:pPr>
      <w:rPr>
        <w:rFonts w:ascii="Arial" w:hAnsi="Arial" w:hint="default"/>
      </w:rPr>
    </w:lvl>
    <w:lvl w:ilvl="6" w:tplc="D4BE033E" w:tentative="1">
      <w:start w:val="1"/>
      <w:numFmt w:val="bullet"/>
      <w:lvlText w:val="•"/>
      <w:lvlJc w:val="left"/>
      <w:pPr>
        <w:tabs>
          <w:tab w:val="num" w:pos="5040"/>
        </w:tabs>
        <w:ind w:left="5040" w:hanging="360"/>
      </w:pPr>
      <w:rPr>
        <w:rFonts w:ascii="Arial" w:hAnsi="Arial" w:hint="default"/>
      </w:rPr>
    </w:lvl>
    <w:lvl w:ilvl="7" w:tplc="CE52CCD4" w:tentative="1">
      <w:start w:val="1"/>
      <w:numFmt w:val="bullet"/>
      <w:lvlText w:val="•"/>
      <w:lvlJc w:val="left"/>
      <w:pPr>
        <w:tabs>
          <w:tab w:val="num" w:pos="5760"/>
        </w:tabs>
        <w:ind w:left="5760" w:hanging="360"/>
      </w:pPr>
      <w:rPr>
        <w:rFonts w:ascii="Arial" w:hAnsi="Arial" w:hint="default"/>
      </w:rPr>
    </w:lvl>
    <w:lvl w:ilvl="8" w:tplc="6CF6A98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156692"/>
    <w:multiLevelType w:val="hybridMultilevel"/>
    <w:tmpl w:val="985ECCE8"/>
    <w:lvl w:ilvl="0" w:tplc="500EA55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B58654E"/>
    <w:multiLevelType w:val="hybridMultilevel"/>
    <w:tmpl w:val="DA2C5D28"/>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3" w15:restartNumberingAfterBreak="0">
    <w:nsid w:val="45DF33EE"/>
    <w:multiLevelType w:val="hybridMultilevel"/>
    <w:tmpl w:val="52482CF8"/>
    <w:lvl w:ilvl="0" w:tplc="FDD22F3A">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80E1437"/>
    <w:multiLevelType w:val="hybridMultilevel"/>
    <w:tmpl w:val="31607B76"/>
    <w:lvl w:ilvl="0" w:tplc="040B000F">
      <w:start w:val="1"/>
      <w:numFmt w:val="decimal"/>
      <w:lvlText w:val="%1."/>
      <w:lvlJc w:val="left"/>
      <w:pPr>
        <w:ind w:left="720" w:hanging="360"/>
      </w:pPr>
    </w:lvl>
    <w:lvl w:ilvl="1" w:tplc="040B0001">
      <w:numFmt w:val="decimal"/>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5" w15:restartNumberingAfterBreak="0">
    <w:nsid w:val="481E694B"/>
    <w:multiLevelType w:val="multilevel"/>
    <w:tmpl w:val="7458F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CE2AC2"/>
    <w:multiLevelType w:val="hybridMultilevel"/>
    <w:tmpl w:val="76EE2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BF5BFF"/>
    <w:multiLevelType w:val="hybridMultilevel"/>
    <w:tmpl w:val="37A63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030B8F"/>
    <w:multiLevelType w:val="hybridMultilevel"/>
    <w:tmpl w:val="E32218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C824204"/>
    <w:multiLevelType w:val="hybridMultilevel"/>
    <w:tmpl w:val="9ED03F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4C81B1F"/>
    <w:multiLevelType w:val="hybridMultilevel"/>
    <w:tmpl w:val="738E779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4DF0400"/>
    <w:multiLevelType w:val="hybridMultilevel"/>
    <w:tmpl w:val="6C5EC2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8682E4B"/>
    <w:multiLevelType w:val="hybridMultilevel"/>
    <w:tmpl w:val="0832D76C"/>
    <w:lvl w:ilvl="0" w:tplc="0813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93314C5"/>
    <w:multiLevelType w:val="hybridMultilevel"/>
    <w:tmpl w:val="F39A18D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4" w15:restartNumberingAfterBreak="0">
    <w:nsid w:val="6B031A21"/>
    <w:multiLevelType w:val="hybridMultilevel"/>
    <w:tmpl w:val="B81698BE"/>
    <w:lvl w:ilvl="0" w:tplc="08130001">
      <w:start w:val="1"/>
      <w:numFmt w:val="bullet"/>
      <w:lvlText w:val=""/>
      <w:lvlJc w:val="left"/>
      <w:pPr>
        <w:ind w:left="720" w:hanging="360"/>
      </w:pPr>
      <w:rPr>
        <w:rFonts w:ascii="Symbol" w:hAnsi="Symbol" w:hint="default"/>
      </w:rPr>
    </w:lvl>
    <w:lvl w:ilvl="1" w:tplc="2E5E15B8">
      <w:numFmt w:val="bullet"/>
      <w:lvlText w:val="-"/>
      <w:lvlJc w:val="left"/>
      <w:pPr>
        <w:ind w:left="1440" w:hanging="360"/>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BBB2CEC"/>
    <w:multiLevelType w:val="hybridMultilevel"/>
    <w:tmpl w:val="28A21F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16A4404"/>
    <w:multiLevelType w:val="hybridMultilevel"/>
    <w:tmpl w:val="31607B76"/>
    <w:lvl w:ilvl="0" w:tplc="040B000F">
      <w:start w:val="1"/>
      <w:numFmt w:val="decimal"/>
      <w:lvlText w:val="%1."/>
      <w:lvlJc w:val="left"/>
      <w:pPr>
        <w:ind w:left="720" w:hanging="360"/>
      </w:pPr>
    </w:lvl>
    <w:lvl w:ilvl="1" w:tplc="040B0001">
      <w:numFmt w:val="decimal"/>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7" w15:restartNumberingAfterBreak="0">
    <w:nsid w:val="7C3B4403"/>
    <w:multiLevelType w:val="hybridMultilevel"/>
    <w:tmpl w:val="6F9C19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CF0509B"/>
    <w:multiLevelType w:val="hybridMultilevel"/>
    <w:tmpl w:val="FB522E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CA0895"/>
    <w:multiLevelType w:val="hybridMultilevel"/>
    <w:tmpl w:val="B838C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E75159"/>
    <w:multiLevelType w:val="hybridMultilevel"/>
    <w:tmpl w:val="9076834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78657380">
    <w:abstractNumId w:val="13"/>
  </w:num>
  <w:num w:numId="2" w16cid:durableId="2020308049">
    <w:abstractNumId w:val="11"/>
  </w:num>
  <w:num w:numId="3" w16cid:durableId="1872110390">
    <w:abstractNumId w:val="0"/>
  </w:num>
  <w:num w:numId="4" w16cid:durableId="130288911">
    <w:abstractNumId w:val="21"/>
  </w:num>
  <w:num w:numId="5" w16cid:durableId="832914767">
    <w:abstractNumId w:val="20"/>
  </w:num>
  <w:num w:numId="6" w16cid:durableId="1378317505">
    <w:abstractNumId w:val="10"/>
  </w:num>
  <w:num w:numId="7" w16cid:durableId="1127310983">
    <w:abstractNumId w:val="4"/>
  </w:num>
  <w:num w:numId="8" w16cid:durableId="1545557493">
    <w:abstractNumId w:val="19"/>
  </w:num>
  <w:num w:numId="9" w16cid:durableId="1537546083">
    <w:abstractNumId w:val="24"/>
  </w:num>
  <w:num w:numId="10" w16cid:durableId="2075161079">
    <w:abstractNumId w:val="25"/>
  </w:num>
  <w:num w:numId="11" w16cid:durableId="1047609012">
    <w:abstractNumId w:val="14"/>
  </w:num>
  <w:num w:numId="12" w16cid:durableId="670446247">
    <w:abstractNumId w:val="26"/>
  </w:num>
  <w:num w:numId="13" w16cid:durableId="327908724">
    <w:abstractNumId w:val="5"/>
  </w:num>
  <w:num w:numId="14" w16cid:durableId="2006589919">
    <w:abstractNumId w:val="22"/>
  </w:num>
  <w:num w:numId="15" w16cid:durableId="911085718">
    <w:abstractNumId w:val="18"/>
  </w:num>
  <w:num w:numId="16" w16cid:durableId="1077482603">
    <w:abstractNumId w:val="3"/>
  </w:num>
  <w:num w:numId="17" w16cid:durableId="1973100152">
    <w:abstractNumId w:val="1"/>
  </w:num>
  <w:num w:numId="18" w16cid:durableId="1368067171">
    <w:abstractNumId w:val="9"/>
  </w:num>
  <w:num w:numId="19" w16cid:durableId="770857822">
    <w:abstractNumId w:val="29"/>
  </w:num>
  <w:num w:numId="20" w16cid:durableId="157504661">
    <w:abstractNumId w:val="7"/>
  </w:num>
  <w:num w:numId="21" w16cid:durableId="1567372971">
    <w:abstractNumId w:val="28"/>
  </w:num>
  <w:num w:numId="22" w16cid:durableId="1834301418">
    <w:abstractNumId w:val="17"/>
  </w:num>
  <w:num w:numId="23" w16cid:durableId="1670865049">
    <w:abstractNumId w:val="6"/>
  </w:num>
  <w:num w:numId="24" w16cid:durableId="193538196">
    <w:abstractNumId w:val="27"/>
  </w:num>
  <w:num w:numId="25" w16cid:durableId="95292406">
    <w:abstractNumId w:val="30"/>
  </w:num>
  <w:num w:numId="26" w16cid:durableId="568736794">
    <w:abstractNumId w:val="2"/>
  </w:num>
  <w:num w:numId="27" w16cid:durableId="1839072068">
    <w:abstractNumId w:val="23"/>
  </w:num>
  <w:num w:numId="28" w16cid:durableId="941911915">
    <w:abstractNumId w:val="8"/>
  </w:num>
  <w:num w:numId="29" w16cid:durableId="641891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13009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3290172">
    <w:abstractNumId w:val="15"/>
  </w:num>
  <w:num w:numId="32" w16cid:durableId="4903688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14"/>
    <w:rsid w:val="00000837"/>
    <w:rsid w:val="00005407"/>
    <w:rsid w:val="00013598"/>
    <w:rsid w:val="000218F4"/>
    <w:rsid w:val="00023A53"/>
    <w:rsid w:val="00026502"/>
    <w:rsid w:val="00033E7D"/>
    <w:rsid w:val="00045897"/>
    <w:rsid w:val="00045C31"/>
    <w:rsid w:val="000479EA"/>
    <w:rsid w:val="0005018F"/>
    <w:rsid w:val="0005652A"/>
    <w:rsid w:val="00073219"/>
    <w:rsid w:val="0007340F"/>
    <w:rsid w:val="00084797"/>
    <w:rsid w:val="000902AA"/>
    <w:rsid w:val="000946DC"/>
    <w:rsid w:val="000B134A"/>
    <w:rsid w:val="000B186A"/>
    <w:rsid w:val="000B4C83"/>
    <w:rsid w:val="000C39FE"/>
    <w:rsid w:val="000C6F07"/>
    <w:rsid w:val="000C7D0F"/>
    <w:rsid w:val="000D00C4"/>
    <w:rsid w:val="000D5B8B"/>
    <w:rsid w:val="000E2720"/>
    <w:rsid w:val="000E3A62"/>
    <w:rsid w:val="000F40CA"/>
    <w:rsid w:val="00120C76"/>
    <w:rsid w:val="00122344"/>
    <w:rsid w:val="0012360F"/>
    <w:rsid w:val="00124BCB"/>
    <w:rsid w:val="00133603"/>
    <w:rsid w:val="001365D1"/>
    <w:rsid w:val="00137911"/>
    <w:rsid w:val="00161822"/>
    <w:rsid w:val="0016412A"/>
    <w:rsid w:val="00165844"/>
    <w:rsid w:val="00173C4B"/>
    <w:rsid w:val="00174075"/>
    <w:rsid w:val="00176284"/>
    <w:rsid w:val="00180A38"/>
    <w:rsid w:val="001874C4"/>
    <w:rsid w:val="001C6867"/>
    <w:rsid w:val="001E0924"/>
    <w:rsid w:val="001F15BB"/>
    <w:rsid w:val="001F569F"/>
    <w:rsid w:val="001F763F"/>
    <w:rsid w:val="002011B6"/>
    <w:rsid w:val="002039B1"/>
    <w:rsid w:val="00205C74"/>
    <w:rsid w:val="002069A8"/>
    <w:rsid w:val="002226FC"/>
    <w:rsid w:val="002329D5"/>
    <w:rsid w:val="00243FE2"/>
    <w:rsid w:val="00247AB9"/>
    <w:rsid w:val="002548D0"/>
    <w:rsid w:val="00256D63"/>
    <w:rsid w:val="00257EEC"/>
    <w:rsid w:val="002669BA"/>
    <w:rsid w:val="00271B5A"/>
    <w:rsid w:val="00271F66"/>
    <w:rsid w:val="00273841"/>
    <w:rsid w:val="0028011C"/>
    <w:rsid w:val="00283305"/>
    <w:rsid w:val="0028586E"/>
    <w:rsid w:val="002871B0"/>
    <w:rsid w:val="00296472"/>
    <w:rsid w:val="002A2F92"/>
    <w:rsid w:val="002A64DA"/>
    <w:rsid w:val="002B17D2"/>
    <w:rsid w:val="002B1F18"/>
    <w:rsid w:val="002C6BD1"/>
    <w:rsid w:val="002C70D7"/>
    <w:rsid w:val="002D112F"/>
    <w:rsid w:val="002D326D"/>
    <w:rsid w:val="002D62AF"/>
    <w:rsid w:val="002E113E"/>
    <w:rsid w:val="002E1EAA"/>
    <w:rsid w:val="002E41BA"/>
    <w:rsid w:val="00306C61"/>
    <w:rsid w:val="0032003D"/>
    <w:rsid w:val="00324481"/>
    <w:rsid w:val="00326C06"/>
    <w:rsid w:val="00336EF3"/>
    <w:rsid w:val="00340644"/>
    <w:rsid w:val="0034621A"/>
    <w:rsid w:val="00346B21"/>
    <w:rsid w:val="00357C7E"/>
    <w:rsid w:val="0036374D"/>
    <w:rsid w:val="00370135"/>
    <w:rsid w:val="003779C2"/>
    <w:rsid w:val="0039648A"/>
    <w:rsid w:val="003A0F1A"/>
    <w:rsid w:val="003A42D8"/>
    <w:rsid w:val="003A5F2F"/>
    <w:rsid w:val="003B01F5"/>
    <w:rsid w:val="003B28FB"/>
    <w:rsid w:val="003B5731"/>
    <w:rsid w:val="003B5F6B"/>
    <w:rsid w:val="003C35EA"/>
    <w:rsid w:val="003C4256"/>
    <w:rsid w:val="003C6771"/>
    <w:rsid w:val="003C788D"/>
    <w:rsid w:val="003D58BC"/>
    <w:rsid w:val="003D6110"/>
    <w:rsid w:val="003D6187"/>
    <w:rsid w:val="003D6574"/>
    <w:rsid w:val="003F1308"/>
    <w:rsid w:val="003F19E2"/>
    <w:rsid w:val="003F5757"/>
    <w:rsid w:val="003F73B1"/>
    <w:rsid w:val="00405B99"/>
    <w:rsid w:val="004063F5"/>
    <w:rsid w:val="0041034C"/>
    <w:rsid w:val="00411ED8"/>
    <w:rsid w:val="00414F2C"/>
    <w:rsid w:val="00416D2B"/>
    <w:rsid w:val="0043511F"/>
    <w:rsid w:val="00435FCC"/>
    <w:rsid w:val="00445CE8"/>
    <w:rsid w:val="00447EF6"/>
    <w:rsid w:val="0045208E"/>
    <w:rsid w:val="00466B23"/>
    <w:rsid w:val="00466E2C"/>
    <w:rsid w:val="0046733D"/>
    <w:rsid w:val="004701F3"/>
    <w:rsid w:val="00471483"/>
    <w:rsid w:val="00481FBA"/>
    <w:rsid w:val="00485655"/>
    <w:rsid w:val="00490856"/>
    <w:rsid w:val="00493AE6"/>
    <w:rsid w:val="0049572A"/>
    <w:rsid w:val="00497E8D"/>
    <w:rsid w:val="004A2BF1"/>
    <w:rsid w:val="004A6CFD"/>
    <w:rsid w:val="004B1700"/>
    <w:rsid w:val="004B3835"/>
    <w:rsid w:val="004D2853"/>
    <w:rsid w:val="004D4433"/>
    <w:rsid w:val="004D4616"/>
    <w:rsid w:val="004E2BB6"/>
    <w:rsid w:val="004E31BF"/>
    <w:rsid w:val="004E76C4"/>
    <w:rsid w:val="004F2541"/>
    <w:rsid w:val="004F746A"/>
    <w:rsid w:val="00500D53"/>
    <w:rsid w:val="0050449C"/>
    <w:rsid w:val="005131D1"/>
    <w:rsid w:val="005215E7"/>
    <w:rsid w:val="0052619D"/>
    <w:rsid w:val="005434FD"/>
    <w:rsid w:val="005440DB"/>
    <w:rsid w:val="00550B51"/>
    <w:rsid w:val="00565836"/>
    <w:rsid w:val="005702F6"/>
    <w:rsid w:val="005820C3"/>
    <w:rsid w:val="005916AB"/>
    <w:rsid w:val="005A20F0"/>
    <w:rsid w:val="005B2EBB"/>
    <w:rsid w:val="005C07FE"/>
    <w:rsid w:val="005C0958"/>
    <w:rsid w:val="005C1F23"/>
    <w:rsid w:val="005C2DFC"/>
    <w:rsid w:val="005D0181"/>
    <w:rsid w:val="005D6F20"/>
    <w:rsid w:val="005E0283"/>
    <w:rsid w:val="005F2DFC"/>
    <w:rsid w:val="00612441"/>
    <w:rsid w:val="0061553E"/>
    <w:rsid w:val="00635A34"/>
    <w:rsid w:val="00635BC7"/>
    <w:rsid w:val="006543E9"/>
    <w:rsid w:val="00656528"/>
    <w:rsid w:val="0066019C"/>
    <w:rsid w:val="00661855"/>
    <w:rsid w:val="0067333E"/>
    <w:rsid w:val="00682CF3"/>
    <w:rsid w:val="006867EB"/>
    <w:rsid w:val="00686B31"/>
    <w:rsid w:val="00696470"/>
    <w:rsid w:val="006A5C3A"/>
    <w:rsid w:val="006B30CF"/>
    <w:rsid w:val="006E594F"/>
    <w:rsid w:val="00700EE2"/>
    <w:rsid w:val="007011A2"/>
    <w:rsid w:val="007066FE"/>
    <w:rsid w:val="0073015C"/>
    <w:rsid w:val="00730667"/>
    <w:rsid w:val="00730C22"/>
    <w:rsid w:val="0073260E"/>
    <w:rsid w:val="0073336C"/>
    <w:rsid w:val="0075050D"/>
    <w:rsid w:val="00752028"/>
    <w:rsid w:val="00753C37"/>
    <w:rsid w:val="00754A02"/>
    <w:rsid w:val="00757737"/>
    <w:rsid w:val="00757F61"/>
    <w:rsid w:val="00762993"/>
    <w:rsid w:val="00766A4A"/>
    <w:rsid w:val="00772906"/>
    <w:rsid w:val="00774D97"/>
    <w:rsid w:val="0078025D"/>
    <w:rsid w:val="0078048C"/>
    <w:rsid w:val="0078185C"/>
    <w:rsid w:val="00781CA7"/>
    <w:rsid w:val="007822BC"/>
    <w:rsid w:val="00785D39"/>
    <w:rsid w:val="00786B2F"/>
    <w:rsid w:val="007953AD"/>
    <w:rsid w:val="007A3627"/>
    <w:rsid w:val="007B54B3"/>
    <w:rsid w:val="007C5D6F"/>
    <w:rsid w:val="007D1D61"/>
    <w:rsid w:val="007D4595"/>
    <w:rsid w:val="007D478C"/>
    <w:rsid w:val="007E1BD2"/>
    <w:rsid w:val="007E4136"/>
    <w:rsid w:val="007E5F3E"/>
    <w:rsid w:val="007E6B6F"/>
    <w:rsid w:val="007F1D32"/>
    <w:rsid w:val="008123D6"/>
    <w:rsid w:val="00812975"/>
    <w:rsid w:val="00812A82"/>
    <w:rsid w:val="0081664D"/>
    <w:rsid w:val="00816C32"/>
    <w:rsid w:val="00822FED"/>
    <w:rsid w:val="00823A80"/>
    <w:rsid w:val="00834183"/>
    <w:rsid w:val="00842EFF"/>
    <w:rsid w:val="0085539D"/>
    <w:rsid w:val="00860B6B"/>
    <w:rsid w:val="00864639"/>
    <w:rsid w:val="0086645F"/>
    <w:rsid w:val="00874C07"/>
    <w:rsid w:val="00875CDA"/>
    <w:rsid w:val="00875F83"/>
    <w:rsid w:val="00877192"/>
    <w:rsid w:val="0089750A"/>
    <w:rsid w:val="00897E97"/>
    <w:rsid w:val="008D0133"/>
    <w:rsid w:val="008D2809"/>
    <w:rsid w:val="008D5C0F"/>
    <w:rsid w:val="008F0A8E"/>
    <w:rsid w:val="008F1E79"/>
    <w:rsid w:val="00906F0B"/>
    <w:rsid w:val="009102BF"/>
    <w:rsid w:val="00910E79"/>
    <w:rsid w:val="00913296"/>
    <w:rsid w:val="0091644A"/>
    <w:rsid w:val="00922332"/>
    <w:rsid w:val="00931A43"/>
    <w:rsid w:val="00932EB0"/>
    <w:rsid w:val="009341EE"/>
    <w:rsid w:val="0094203F"/>
    <w:rsid w:val="009430EF"/>
    <w:rsid w:val="00952453"/>
    <w:rsid w:val="009549E8"/>
    <w:rsid w:val="009704E7"/>
    <w:rsid w:val="009822AF"/>
    <w:rsid w:val="0098489B"/>
    <w:rsid w:val="00990777"/>
    <w:rsid w:val="009A1D41"/>
    <w:rsid w:val="009A561B"/>
    <w:rsid w:val="009B04D1"/>
    <w:rsid w:val="009C5A2B"/>
    <w:rsid w:val="009D52FF"/>
    <w:rsid w:val="009E4B37"/>
    <w:rsid w:val="009F25D7"/>
    <w:rsid w:val="009F3EC4"/>
    <w:rsid w:val="009F48F5"/>
    <w:rsid w:val="00A01F7E"/>
    <w:rsid w:val="00A041CC"/>
    <w:rsid w:val="00A05306"/>
    <w:rsid w:val="00A13C61"/>
    <w:rsid w:val="00A30A7E"/>
    <w:rsid w:val="00A31BE1"/>
    <w:rsid w:val="00A41C4C"/>
    <w:rsid w:val="00A436BB"/>
    <w:rsid w:val="00A526F2"/>
    <w:rsid w:val="00A52E7F"/>
    <w:rsid w:val="00A5423A"/>
    <w:rsid w:val="00A54C05"/>
    <w:rsid w:val="00A5609A"/>
    <w:rsid w:val="00A5769E"/>
    <w:rsid w:val="00A62824"/>
    <w:rsid w:val="00A648AF"/>
    <w:rsid w:val="00A7121D"/>
    <w:rsid w:val="00A849E0"/>
    <w:rsid w:val="00A84CC8"/>
    <w:rsid w:val="00A85E0A"/>
    <w:rsid w:val="00A85F9D"/>
    <w:rsid w:val="00AA7AEE"/>
    <w:rsid w:val="00AB1013"/>
    <w:rsid w:val="00AB333C"/>
    <w:rsid w:val="00AC23B1"/>
    <w:rsid w:val="00AC2ADA"/>
    <w:rsid w:val="00AC3DB3"/>
    <w:rsid w:val="00AD1201"/>
    <w:rsid w:val="00AE154E"/>
    <w:rsid w:val="00AE1CAD"/>
    <w:rsid w:val="00AE1CBE"/>
    <w:rsid w:val="00AF333C"/>
    <w:rsid w:val="00AF73AA"/>
    <w:rsid w:val="00AF79A0"/>
    <w:rsid w:val="00B125A2"/>
    <w:rsid w:val="00B138C8"/>
    <w:rsid w:val="00B1619C"/>
    <w:rsid w:val="00B20AF2"/>
    <w:rsid w:val="00B45B4E"/>
    <w:rsid w:val="00B55013"/>
    <w:rsid w:val="00B67C43"/>
    <w:rsid w:val="00B8413C"/>
    <w:rsid w:val="00B86EBA"/>
    <w:rsid w:val="00B91F18"/>
    <w:rsid w:val="00B95EFE"/>
    <w:rsid w:val="00BA75CD"/>
    <w:rsid w:val="00BA7BFD"/>
    <w:rsid w:val="00BB16BE"/>
    <w:rsid w:val="00BB562B"/>
    <w:rsid w:val="00BB5D21"/>
    <w:rsid w:val="00BB6219"/>
    <w:rsid w:val="00BC1073"/>
    <w:rsid w:val="00BD1C61"/>
    <w:rsid w:val="00BE53EC"/>
    <w:rsid w:val="00C00BC7"/>
    <w:rsid w:val="00C05C45"/>
    <w:rsid w:val="00C242CD"/>
    <w:rsid w:val="00C24911"/>
    <w:rsid w:val="00C278B2"/>
    <w:rsid w:val="00C41EE8"/>
    <w:rsid w:val="00C460C5"/>
    <w:rsid w:val="00C538D6"/>
    <w:rsid w:val="00C54D00"/>
    <w:rsid w:val="00C57621"/>
    <w:rsid w:val="00C57E18"/>
    <w:rsid w:val="00C7099B"/>
    <w:rsid w:val="00C74051"/>
    <w:rsid w:val="00C7506D"/>
    <w:rsid w:val="00C804C4"/>
    <w:rsid w:val="00C857A5"/>
    <w:rsid w:val="00C926ED"/>
    <w:rsid w:val="00C9674E"/>
    <w:rsid w:val="00C97BD6"/>
    <w:rsid w:val="00CA4A1E"/>
    <w:rsid w:val="00CA6F14"/>
    <w:rsid w:val="00CA7490"/>
    <w:rsid w:val="00CB0AD6"/>
    <w:rsid w:val="00CB22FA"/>
    <w:rsid w:val="00CB7EE0"/>
    <w:rsid w:val="00CC0C11"/>
    <w:rsid w:val="00CC3A52"/>
    <w:rsid w:val="00CC44E6"/>
    <w:rsid w:val="00CD777B"/>
    <w:rsid w:val="00CF4550"/>
    <w:rsid w:val="00D00696"/>
    <w:rsid w:val="00D06054"/>
    <w:rsid w:val="00D06759"/>
    <w:rsid w:val="00D11083"/>
    <w:rsid w:val="00D13676"/>
    <w:rsid w:val="00D17F1B"/>
    <w:rsid w:val="00D34D73"/>
    <w:rsid w:val="00D51223"/>
    <w:rsid w:val="00D52BF3"/>
    <w:rsid w:val="00D53E97"/>
    <w:rsid w:val="00D55048"/>
    <w:rsid w:val="00D664E4"/>
    <w:rsid w:val="00D67059"/>
    <w:rsid w:val="00D719CC"/>
    <w:rsid w:val="00D80873"/>
    <w:rsid w:val="00D961D3"/>
    <w:rsid w:val="00DA5CBD"/>
    <w:rsid w:val="00DB15C8"/>
    <w:rsid w:val="00DC2C5F"/>
    <w:rsid w:val="00DC7A3E"/>
    <w:rsid w:val="00DE0DA2"/>
    <w:rsid w:val="00DE6D01"/>
    <w:rsid w:val="00E02D27"/>
    <w:rsid w:val="00E10F43"/>
    <w:rsid w:val="00E10FF8"/>
    <w:rsid w:val="00E23378"/>
    <w:rsid w:val="00E25943"/>
    <w:rsid w:val="00E308DC"/>
    <w:rsid w:val="00E35726"/>
    <w:rsid w:val="00E426C2"/>
    <w:rsid w:val="00E42FC8"/>
    <w:rsid w:val="00E4346C"/>
    <w:rsid w:val="00E51579"/>
    <w:rsid w:val="00E557AF"/>
    <w:rsid w:val="00E6107C"/>
    <w:rsid w:val="00E71CA6"/>
    <w:rsid w:val="00EA42EE"/>
    <w:rsid w:val="00EA52A4"/>
    <w:rsid w:val="00EB1030"/>
    <w:rsid w:val="00EC1516"/>
    <w:rsid w:val="00EC2F01"/>
    <w:rsid w:val="00EC3536"/>
    <w:rsid w:val="00EC6794"/>
    <w:rsid w:val="00EE6448"/>
    <w:rsid w:val="00EF1245"/>
    <w:rsid w:val="00EF3AB2"/>
    <w:rsid w:val="00F05357"/>
    <w:rsid w:val="00F06BEF"/>
    <w:rsid w:val="00F07736"/>
    <w:rsid w:val="00F07C22"/>
    <w:rsid w:val="00F23585"/>
    <w:rsid w:val="00F242BA"/>
    <w:rsid w:val="00F2455D"/>
    <w:rsid w:val="00F260B8"/>
    <w:rsid w:val="00F367B6"/>
    <w:rsid w:val="00F37AD1"/>
    <w:rsid w:val="00F5225B"/>
    <w:rsid w:val="00F5706D"/>
    <w:rsid w:val="00F7427F"/>
    <w:rsid w:val="00F81A4E"/>
    <w:rsid w:val="00F8639F"/>
    <w:rsid w:val="00F87EDA"/>
    <w:rsid w:val="00F9226F"/>
    <w:rsid w:val="00F96A40"/>
    <w:rsid w:val="00FA60CF"/>
    <w:rsid w:val="00FB588F"/>
    <w:rsid w:val="00FC0121"/>
    <w:rsid w:val="00FC4164"/>
    <w:rsid w:val="00FC67E4"/>
    <w:rsid w:val="00FD2910"/>
    <w:rsid w:val="00FD4D00"/>
    <w:rsid w:val="00FE2162"/>
    <w:rsid w:val="00FF14A6"/>
    <w:rsid w:val="00FF56B6"/>
    <w:rsid w:val="016A85D9"/>
    <w:rsid w:val="017DAAFC"/>
    <w:rsid w:val="01F648A5"/>
    <w:rsid w:val="02786585"/>
    <w:rsid w:val="03A4C8D0"/>
    <w:rsid w:val="067938C2"/>
    <w:rsid w:val="0699E463"/>
    <w:rsid w:val="070BF997"/>
    <w:rsid w:val="08010849"/>
    <w:rsid w:val="0802762C"/>
    <w:rsid w:val="080661A9"/>
    <w:rsid w:val="0825BC9A"/>
    <w:rsid w:val="08CA818B"/>
    <w:rsid w:val="0A24BC8C"/>
    <w:rsid w:val="0A2BFFEE"/>
    <w:rsid w:val="0BBF1C9F"/>
    <w:rsid w:val="0C2F752F"/>
    <w:rsid w:val="0DCB2F55"/>
    <w:rsid w:val="0DD70A0C"/>
    <w:rsid w:val="0EAFDC3E"/>
    <w:rsid w:val="0F8A4F16"/>
    <w:rsid w:val="0F939A90"/>
    <w:rsid w:val="1355917E"/>
    <w:rsid w:val="13A7F01E"/>
    <w:rsid w:val="16727B3B"/>
    <w:rsid w:val="18A81559"/>
    <w:rsid w:val="18E7CBD9"/>
    <w:rsid w:val="18F1E33A"/>
    <w:rsid w:val="1A09CDAF"/>
    <w:rsid w:val="1A16B012"/>
    <w:rsid w:val="1CAC726C"/>
    <w:rsid w:val="1CE7C3D9"/>
    <w:rsid w:val="1D30D890"/>
    <w:rsid w:val="1E870BBC"/>
    <w:rsid w:val="1EF7E8AC"/>
    <w:rsid w:val="209B5BB7"/>
    <w:rsid w:val="21211DFB"/>
    <w:rsid w:val="217DD45D"/>
    <w:rsid w:val="220F5C58"/>
    <w:rsid w:val="22249E11"/>
    <w:rsid w:val="23E8E1BC"/>
    <w:rsid w:val="2806D4FA"/>
    <w:rsid w:val="28EA2305"/>
    <w:rsid w:val="296E2BA5"/>
    <w:rsid w:val="29A9D5CA"/>
    <w:rsid w:val="29C67C74"/>
    <w:rsid w:val="2A995C4F"/>
    <w:rsid w:val="2D11A811"/>
    <w:rsid w:val="2E93F69D"/>
    <w:rsid w:val="34B7863C"/>
    <w:rsid w:val="368D0C30"/>
    <w:rsid w:val="37006EA8"/>
    <w:rsid w:val="372D618F"/>
    <w:rsid w:val="383A77D5"/>
    <w:rsid w:val="39503499"/>
    <w:rsid w:val="3A15B1DF"/>
    <w:rsid w:val="3A682F82"/>
    <w:rsid w:val="3AB3E59C"/>
    <w:rsid w:val="3D4F7620"/>
    <w:rsid w:val="3F2FE633"/>
    <w:rsid w:val="3F72324F"/>
    <w:rsid w:val="3FA850CF"/>
    <w:rsid w:val="3FC4E67C"/>
    <w:rsid w:val="40873ECD"/>
    <w:rsid w:val="41422912"/>
    <w:rsid w:val="41CEECCA"/>
    <w:rsid w:val="43284BA2"/>
    <w:rsid w:val="4520DA3C"/>
    <w:rsid w:val="459C3AB2"/>
    <w:rsid w:val="489ECCAE"/>
    <w:rsid w:val="4A5CB872"/>
    <w:rsid w:val="4B7CF690"/>
    <w:rsid w:val="4B8107F8"/>
    <w:rsid w:val="4BA4A02A"/>
    <w:rsid w:val="4C88F60F"/>
    <w:rsid w:val="4E8C6AEE"/>
    <w:rsid w:val="4F30B70D"/>
    <w:rsid w:val="5253D90C"/>
    <w:rsid w:val="53C2AD18"/>
    <w:rsid w:val="540B852E"/>
    <w:rsid w:val="54A3CA25"/>
    <w:rsid w:val="54D55627"/>
    <w:rsid w:val="5509A579"/>
    <w:rsid w:val="57D52971"/>
    <w:rsid w:val="59E7793D"/>
    <w:rsid w:val="5A2B4A76"/>
    <w:rsid w:val="5B7B1DFD"/>
    <w:rsid w:val="5C79B6B3"/>
    <w:rsid w:val="5D1BD9FA"/>
    <w:rsid w:val="5E8C8B52"/>
    <w:rsid w:val="5F11DBD5"/>
    <w:rsid w:val="5F2E49BC"/>
    <w:rsid w:val="6263DD25"/>
    <w:rsid w:val="626B6089"/>
    <w:rsid w:val="6333EF99"/>
    <w:rsid w:val="667623A0"/>
    <w:rsid w:val="678F5737"/>
    <w:rsid w:val="6860B94A"/>
    <w:rsid w:val="68AA52C6"/>
    <w:rsid w:val="68CE5DA8"/>
    <w:rsid w:val="69948A8C"/>
    <w:rsid w:val="6A5208DF"/>
    <w:rsid w:val="6A638369"/>
    <w:rsid w:val="6B0482AE"/>
    <w:rsid w:val="6B463F94"/>
    <w:rsid w:val="6B783E28"/>
    <w:rsid w:val="6D771B15"/>
    <w:rsid w:val="6D9081E9"/>
    <w:rsid w:val="6EB34414"/>
    <w:rsid w:val="6FC75BB4"/>
    <w:rsid w:val="701B5AE9"/>
    <w:rsid w:val="70D799AB"/>
    <w:rsid w:val="73BB84E4"/>
    <w:rsid w:val="746F432D"/>
    <w:rsid w:val="74BBC4D3"/>
    <w:rsid w:val="74FE9756"/>
    <w:rsid w:val="75B6A42A"/>
    <w:rsid w:val="75DAF355"/>
    <w:rsid w:val="77198AEB"/>
    <w:rsid w:val="7A1F4389"/>
    <w:rsid w:val="7BADDCF3"/>
    <w:rsid w:val="7C1F03DA"/>
    <w:rsid w:val="7D0A2209"/>
    <w:rsid w:val="7DD4EC8B"/>
    <w:rsid w:val="7ED10870"/>
    <w:rsid w:val="7FE856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5D8EE"/>
  <w15:chartTrackingRefBased/>
  <w15:docId w15:val="{0D3F1FD1-7FEA-4C6D-8CD3-11093F6C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585"/>
    <w:pPr>
      <w:spacing w:after="0" w:line="240" w:lineRule="auto"/>
    </w:pPr>
    <w:rPr>
      <w:color w:val="8C8C8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256"/>
    <w:pPr>
      <w:tabs>
        <w:tab w:val="center" w:pos="4513"/>
        <w:tab w:val="right" w:pos="9026"/>
      </w:tabs>
      <w:ind w:right="-851"/>
      <w:jc w:val="right"/>
    </w:pPr>
    <w:rPr>
      <w:color w:val="A0A09B"/>
    </w:rPr>
  </w:style>
  <w:style w:type="character" w:customStyle="1" w:styleId="HeaderChar">
    <w:name w:val="Header Char"/>
    <w:basedOn w:val="DefaultParagraphFont"/>
    <w:link w:val="Header"/>
    <w:uiPriority w:val="99"/>
    <w:rsid w:val="003C4256"/>
    <w:rPr>
      <w:color w:val="A0A09B"/>
      <w:sz w:val="20"/>
    </w:rPr>
  </w:style>
  <w:style w:type="paragraph" w:styleId="Footer">
    <w:name w:val="footer"/>
    <w:basedOn w:val="Normal"/>
    <w:link w:val="FooterChar"/>
    <w:uiPriority w:val="99"/>
    <w:unhideWhenUsed/>
    <w:rsid w:val="008F0A8E"/>
    <w:pPr>
      <w:tabs>
        <w:tab w:val="center" w:pos="4513"/>
        <w:tab w:val="right" w:pos="9026"/>
      </w:tabs>
      <w:ind w:right="-851"/>
      <w:jc w:val="right"/>
    </w:pPr>
    <w:rPr>
      <w:b/>
      <w:color w:val="A0A09B"/>
      <w:sz w:val="28"/>
    </w:rPr>
  </w:style>
  <w:style w:type="character" w:customStyle="1" w:styleId="FooterChar">
    <w:name w:val="Footer Char"/>
    <w:basedOn w:val="DefaultParagraphFont"/>
    <w:link w:val="Footer"/>
    <w:uiPriority w:val="99"/>
    <w:rsid w:val="008F0A8E"/>
    <w:rPr>
      <w:b/>
      <w:color w:val="A0A09B"/>
      <w:sz w:val="28"/>
    </w:rPr>
  </w:style>
  <w:style w:type="character" w:styleId="PlaceholderText">
    <w:name w:val="Placeholder Text"/>
    <w:basedOn w:val="DefaultParagraphFont"/>
    <w:uiPriority w:val="99"/>
    <w:semiHidden/>
    <w:rsid w:val="00730667"/>
    <w:rPr>
      <w:color w:val="808080"/>
    </w:rPr>
  </w:style>
  <w:style w:type="character" w:styleId="Hyperlink">
    <w:name w:val="Hyperlink"/>
    <w:basedOn w:val="DefaultParagraphFont"/>
    <w:uiPriority w:val="99"/>
    <w:unhideWhenUsed/>
    <w:rsid w:val="003C4256"/>
    <w:rPr>
      <w:color w:val="A0A09B"/>
      <w:u w:val="none"/>
    </w:rPr>
  </w:style>
  <w:style w:type="table" w:styleId="TableGrid">
    <w:name w:val="Table Grid"/>
    <w:basedOn w:val="TableNormal"/>
    <w:uiPriority w:val="39"/>
    <w:rsid w:val="003C4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39FE"/>
    <w:rPr>
      <w:color w:val="808080"/>
      <w:shd w:val="clear" w:color="auto" w:fill="E6E6E6"/>
    </w:rPr>
  </w:style>
  <w:style w:type="paragraph" w:styleId="ListParagraph">
    <w:name w:val="List Paragraph"/>
    <w:basedOn w:val="Normal"/>
    <w:uiPriority w:val="34"/>
    <w:qFormat/>
    <w:rsid w:val="00CA6F14"/>
    <w:pPr>
      <w:ind w:left="720"/>
      <w:contextualSpacing/>
    </w:pPr>
  </w:style>
  <w:style w:type="paragraph" w:styleId="FootnoteText">
    <w:name w:val="footnote text"/>
    <w:basedOn w:val="Normal"/>
    <w:link w:val="FootnoteTextChar"/>
    <w:uiPriority w:val="99"/>
    <w:semiHidden/>
    <w:unhideWhenUsed/>
    <w:rsid w:val="00635A34"/>
    <w:rPr>
      <w:szCs w:val="20"/>
    </w:rPr>
  </w:style>
  <w:style w:type="character" w:customStyle="1" w:styleId="FootnoteTextChar">
    <w:name w:val="Footnote Text Char"/>
    <w:basedOn w:val="DefaultParagraphFont"/>
    <w:link w:val="FootnoteText"/>
    <w:uiPriority w:val="99"/>
    <w:semiHidden/>
    <w:rsid w:val="00635A34"/>
    <w:rPr>
      <w:color w:val="8C8C87"/>
      <w:sz w:val="20"/>
      <w:szCs w:val="20"/>
    </w:rPr>
  </w:style>
  <w:style w:type="character" w:styleId="FootnoteReference">
    <w:name w:val="footnote reference"/>
    <w:basedOn w:val="DefaultParagraphFont"/>
    <w:uiPriority w:val="99"/>
    <w:semiHidden/>
    <w:unhideWhenUsed/>
    <w:rsid w:val="00635A34"/>
    <w:rPr>
      <w:vertAlign w:val="superscript"/>
    </w:rPr>
  </w:style>
  <w:style w:type="paragraph" w:styleId="Revision">
    <w:name w:val="Revision"/>
    <w:hidden/>
    <w:uiPriority w:val="99"/>
    <w:semiHidden/>
    <w:rsid w:val="00AE1CBE"/>
    <w:pPr>
      <w:spacing w:after="0" w:line="240" w:lineRule="auto"/>
    </w:pPr>
    <w:rPr>
      <w:color w:val="8C8C87"/>
      <w:sz w:val="20"/>
    </w:rPr>
  </w:style>
  <w:style w:type="character" w:styleId="CommentReference">
    <w:name w:val="annotation reference"/>
    <w:basedOn w:val="DefaultParagraphFont"/>
    <w:uiPriority w:val="99"/>
    <w:semiHidden/>
    <w:unhideWhenUsed/>
    <w:rsid w:val="00C54D00"/>
    <w:rPr>
      <w:sz w:val="16"/>
      <w:szCs w:val="16"/>
    </w:rPr>
  </w:style>
  <w:style w:type="paragraph" w:styleId="CommentText">
    <w:name w:val="annotation text"/>
    <w:basedOn w:val="Normal"/>
    <w:link w:val="CommentTextChar"/>
    <w:uiPriority w:val="99"/>
    <w:unhideWhenUsed/>
    <w:rsid w:val="00C54D00"/>
    <w:rPr>
      <w:szCs w:val="20"/>
    </w:rPr>
  </w:style>
  <w:style w:type="character" w:customStyle="1" w:styleId="CommentTextChar">
    <w:name w:val="Comment Text Char"/>
    <w:basedOn w:val="DefaultParagraphFont"/>
    <w:link w:val="CommentText"/>
    <w:uiPriority w:val="99"/>
    <w:rsid w:val="00C54D00"/>
    <w:rPr>
      <w:color w:val="8C8C87"/>
      <w:sz w:val="20"/>
      <w:szCs w:val="20"/>
    </w:rPr>
  </w:style>
  <w:style w:type="paragraph" w:styleId="CommentSubject">
    <w:name w:val="annotation subject"/>
    <w:basedOn w:val="CommentText"/>
    <w:next w:val="CommentText"/>
    <w:link w:val="CommentSubjectChar"/>
    <w:uiPriority w:val="99"/>
    <w:semiHidden/>
    <w:unhideWhenUsed/>
    <w:rsid w:val="00C54D00"/>
    <w:rPr>
      <w:b/>
      <w:bCs/>
    </w:rPr>
  </w:style>
  <w:style w:type="character" w:customStyle="1" w:styleId="CommentSubjectChar">
    <w:name w:val="Comment Subject Char"/>
    <w:basedOn w:val="CommentTextChar"/>
    <w:link w:val="CommentSubject"/>
    <w:uiPriority w:val="99"/>
    <w:semiHidden/>
    <w:rsid w:val="00C54D00"/>
    <w:rPr>
      <w:b/>
      <w:bCs/>
      <w:color w:val="8C8C87"/>
      <w:sz w:val="20"/>
      <w:szCs w:val="20"/>
    </w:rPr>
  </w:style>
  <w:style w:type="paragraph" w:customStyle="1" w:styleId="xmsolistparagraph">
    <w:name w:val="x_msolistparagraph"/>
    <w:basedOn w:val="Normal"/>
    <w:rsid w:val="002D112F"/>
    <w:pPr>
      <w:spacing w:before="100" w:beforeAutospacing="1" w:after="100" w:afterAutospacing="1"/>
    </w:pPr>
    <w:rPr>
      <w:rFonts w:ascii="Times New Roman" w:eastAsia="Times New Roman" w:hAnsi="Times New Roman" w:cs="Times New Roman"/>
      <w:color w:val="auto"/>
      <w:sz w:val="24"/>
      <w:szCs w:val="24"/>
      <w:lang w:val="fr-FR" w:eastAsia="fr-FR"/>
    </w:rPr>
  </w:style>
  <w:style w:type="paragraph" w:styleId="NormalWeb">
    <w:name w:val="Normal (Web)"/>
    <w:basedOn w:val="Normal"/>
    <w:uiPriority w:val="99"/>
    <w:semiHidden/>
    <w:unhideWhenUsed/>
    <w:rsid w:val="00931A43"/>
    <w:pPr>
      <w:spacing w:before="100" w:beforeAutospacing="1" w:after="100" w:afterAutospacing="1"/>
    </w:pPr>
    <w:rPr>
      <w:rFonts w:ascii="Times New Roman" w:eastAsia="Times New Roman" w:hAnsi="Times New Roman" w:cs="Times New Roman"/>
      <w:color w:val="auto"/>
      <w:sz w:val="24"/>
      <w:szCs w:val="24"/>
      <w:lang w:val="fr-FR" w:eastAsia="fr-FR"/>
    </w:rPr>
  </w:style>
  <w:style w:type="character" w:styleId="Mention">
    <w:name w:val="Mention"/>
    <w:basedOn w:val="DefaultParagraphFont"/>
    <w:uiPriority w:val="99"/>
    <w:unhideWhenUsed/>
    <w:rsid w:val="00435FCC"/>
    <w:rPr>
      <w:color w:val="2B579A"/>
      <w:shd w:val="clear" w:color="auto" w:fill="E1DFDD"/>
    </w:rPr>
  </w:style>
  <w:style w:type="character" w:styleId="FollowedHyperlink">
    <w:name w:val="FollowedHyperlink"/>
    <w:basedOn w:val="DefaultParagraphFont"/>
    <w:uiPriority w:val="99"/>
    <w:semiHidden/>
    <w:unhideWhenUsed/>
    <w:rsid w:val="008123D6"/>
    <w:rPr>
      <w:color w:val="5FAA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32771">
      <w:bodyDiv w:val="1"/>
      <w:marLeft w:val="0"/>
      <w:marRight w:val="0"/>
      <w:marTop w:val="0"/>
      <w:marBottom w:val="0"/>
      <w:divBdr>
        <w:top w:val="none" w:sz="0" w:space="0" w:color="auto"/>
        <w:left w:val="none" w:sz="0" w:space="0" w:color="auto"/>
        <w:bottom w:val="none" w:sz="0" w:space="0" w:color="auto"/>
        <w:right w:val="none" w:sz="0" w:space="0" w:color="auto"/>
      </w:divBdr>
      <w:divsChild>
        <w:div w:id="201597531">
          <w:marLeft w:val="806"/>
          <w:marRight w:val="0"/>
          <w:marTop w:val="100"/>
          <w:marBottom w:val="0"/>
          <w:divBdr>
            <w:top w:val="none" w:sz="0" w:space="0" w:color="auto"/>
            <w:left w:val="none" w:sz="0" w:space="0" w:color="auto"/>
            <w:bottom w:val="none" w:sz="0" w:space="0" w:color="auto"/>
            <w:right w:val="none" w:sz="0" w:space="0" w:color="auto"/>
          </w:divBdr>
        </w:div>
        <w:div w:id="757797449">
          <w:marLeft w:val="1195"/>
          <w:marRight w:val="0"/>
          <w:marTop w:val="100"/>
          <w:marBottom w:val="0"/>
          <w:divBdr>
            <w:top w:val="none" w:sz="0" w:space="0" w:color="auto"/>
            <w:left w:val="none" w:sz="0" w:space="0" w:color="auto"/>
            <w:bottom w:val="none" w:sz="0" w:space="0" w:color="auto"/>
            <w:right w:val="none" w:sz="0" w:space="0" w:color="auto"/>
          </w:divBdr>
        </w:div>
        <w:div w:id="1107232589">
          <w:marLeft w:val="806"/>
          <w:marRight w:val="0"/>
          <w:marTop w:val="100"/>
          <w:marBottom w:val="0"/>
          <w:divBdr>
            <w:top w:val="none" w:sz="0" w:space="0" w:color="auto"/>
            <w:left w:val="none" w:sz="0" w:space="0" w:color="auto"/>
            <w:bottom w:val="none" w:sz="0" w:space="0" w:color="auto"/>
            <w:right w:val="none" w:sz="0" w:space="0" w:color="auto"/>
          </w:divBdr>
        </w:div>
        <w:div w:id="1197546669">
          <w:marLeft w:val="1195"/>
          <w:marRight w:val="0"/>
          <w:marTop w:val="100"/>
          <w:marBottom w:val="0"/>
          <w:divBdr>
            <w:top w:val="none" w:sz="0" w:space="0" w:color="auto"/>
            <w:left w:val="none" w:sz="0" w:space="0" w:color="auto"/>
            <w:bottom w:val="none" w:sz="0" w:space="0" w:color="auto"/>
            <w:right w:val="none" w:sz="0" w:space="0" w:color="auto"/>
          </w:divBdr>
        </w:div>
        <w:div w:id="1601376072">
          <w:marLeft w:val="806"/>
          <w:marRight w:val="0"/>
          <w:marTop w:val="100"/>
          <w:marBottom w:val="0"/>
          <w:divBdr>
            <w:top w:val="none" w:sz="0" w:space="0" w:color="auto"/>
            <w:left w:val="none" w:sz="0" w:space="0" w:color="auto"/>
            <w:bottom w:val="none" w:sz="0" w:space="0" w:color="auto"/>
            <w:right w:val="none" w:sz="0" w:space="0" w:color="auto"/>
          </w:divBdr>
        </w:div>
        <w:div w:id="1691447587">
          <w:marLeft w:val="806"/>
          <w:marRight w:val="0"/>
          <w:marTop w:val="100"/>
          <w:marBottom w:val="0"/>
          <w:divBdr>
            <w:top w:val="none" w:sz="0" w:space="0" w:color="auto"/>
            <w:left w:val="none" w:sz="0" w:space="0" w:color="auto"/>
            <w:bottom w:val="none" w:sz="0" w:space="0" w:color="auto"/>
            <w:right w:val="none" w:sz="0" w:space="0" w:color="auto"/>
          </w:divBdr>
        </w:div>
        <w:div w:id="1706520066">
          <w:marLeft w:val="806"/>
          <w:marRight w:val="0"/>
          <w:marTop w:val="100"/>
          <w:marBottom w:val="0"/>
          <w:divBdr>
            <w:top w:val="none" w:sz="0" w:space="0" w:color="auto"/>
            <w:left w:val="none" w:sz="0" w:space="0" w:color="auto"/>
            <w:bottom w:val="none" w:sz="0" w:space="0" w:color="auto"/>
            <w:right w:val="none" w:sz="0" w:space="0" w:color="auto"/>
          </w:divBdr>
        </w:div>
        <w:div w:id="2014339826">
          <w:marLeft w:val="806"/>
          <w:marRight w:val="0"/>
          <w:marTop w:val="100"/>
          <w:marBottom w:val="0"/>
          <w:divBdr>
            <w:top w:val="none" w:sz="0" w:space="0" w:color="auto"/>
            <w:left w:val="none" w:sz="0" w:space="0" w:color="auto"/>
            <w:bottom w:val="none" w:sz="0" w:space="0" w:color="auto"/>
            <w:right w:val="none" w:sz="0" w:space="0" w:color="auto"/>
          </w:divBdr>
        </w:div>
      </w:divsChild>
    </w:div>
    <w:div w:id="269239094">
      <w:bodyDiv w:val="1"/>
      <w:marLeft w:val="0"/>
      <w:marRight w:val="0"/>
      <w:marTop w:val="0"/>
      <w:marBottom w:val="0"/>
      <w:divBdr>
        <w:top w:val="none" w:sz="0" w:space="0" w:color="auto"/>
        <w:left w:val="none" w:sz="0" w:space="0" w:color="auto"/>
        <w:bottom w:val="none" w:sz="0" w:space="0" w:color="auto"/>
        <w:right w:val="none" w:sz="0" w:space="0" w:color="auto"/>
      </w:divBdr>
    </w:div>
    <w:div w:id="433786564">
      <w:bodyDiv w:val="1"/>
      <w:marLeft w:val="0"/>
      <w:marRight w:val="0"/>
      <w:marTop w:val="0"/>
      <w:marBottom w:val="0"/>
      <w:divBdr>
        <w:top w:val="none" w:sz="0" w:space="0" w:color="auto"/>
        <w:left w:val="none" w:sz="0" w:space="0" w:color="auto"/>
        <w:bottom w:val="none" w:sz="0" w:space="0" w:color="auto"/>
        <w:right w:val="none" w:sz="0" w:space="0" w:color="auto"/>
      </w:divBdr>
    </w:div>
    <w:div w:id="492373629">
      <w:bodyDiv w:val="1"/>
      <w:marLeft w:val="0"/>
      <w:marRight w:val="0"/>
      <w:marTop w:val="0"/>
      <w:marBottom w:val="0"/>
      <w:divBdr>
        <w:top w:val="none" w:sz="0" w:space="0" w:color="auto"/>
        <w:left w:val="none" w:sz="0" w:space="0" w:color="auto"/>
        <w:bottom w:val="none" w:sz="0" w:space="0" w:color="auto"/>
        <w:right w:val="none" w:sz="0" w:space="0" w:color="auto"/>
      </w:divBdr>
    </w:div>
    <w:div w:id="643123665">
      <w:bodyDiv w:val="1"/>
      <w:marLeft w:val="0"/>
      <w:marRight w:val="0"/>
      <w:marTop w:val="0"/>
      <w:marBottom w:val="0"/>
      <w:divBdr>
        <w:top w:val="none" w:sz="0" w:space="0" w:color="auto"/>
        <w:left w:val="none" w:sz="0" w:space="0" w:color="auto"/>
        <w:bottom w:val="none" w:sz="0" w:space="0" w:color="auto"/>
        <w:right w:val="none" w:sz="0" w:space="0" w:color="auto"/>
      </w:divBdr>
    </w:div>
    <w:div w:id="767191474">
      <w:bodyDiv w:val="1"/>
      <w:marLeft w:val="0"/>
      <w:marRight w:val="0"/>
      <w:marTop w:val="0"/>
      <w:marBottom w:val="0"/>
      <w:divBdr>
        <w:top w:val="none" w:sz="0" w:space="0" w:color="auto"/>
        <w:left w:val="none" w:sz="0" w:space="0" w:color="auto"/>
        <w:bottom w:val="none" w:sz="0" w:space="0" w:color="auto"/>
        <w:right w:val="none" w:sz="0" w:space="0" w:color="auto"/>
      </w:divBdr>
    </w:div>
    <w:div w:id="854154780">
      <w:bodyDiv w:val="1"/>
      <w:marLeft w:val="0"/>
      <w:marRight w:val="0"/>
      <w:marTop w:val="0"/>
      <w:marBottom w:val="0"/>
      <w:divBdr>
        <w:top w:val="none" w:sz="0" w:space="0" w:color="auto"/>
        <w:left w:val="none" w:sz="0" w:space="0" w:color="auto"/>
        <w:bottom w:val="none" w:sz="0" w:space="0" w:color="auto"/>
        <w:right w:val="none" w:sz="0" w:space="0" w:color="auto"/>
      </w:divBdr>
    </w:div>
    <w:div w:id="944775891">
      <w:bodyDiv w:val="1"/>
      <w:marLeft w:val="0"/>
      <w:marRight w:val="0"/>
      <w:marTop w:val="0"/>
      <w:marBottom w:val="0"/>
      <w:divBdr>
        <w:top w:val="none" w:sz="0" w:space="0" w:color="auto"/>
        <w:left w:val="none" w:sz="0" w:space="0" w:color="auto"/>
        <w:bottom w:val="none" w:sz="0" w:space="0" w:color="auto"/>
        <w:right w:val="none" w:sz="0" w:space="0" w:color="auto"/>
      </w:divBdr>
    </w:div>
    <w:div w:id="965626930">
      <w:bodyDiv w:val="1"/>
      <w:marLeft w:val="0"/>
      <w:marRight w:val="0"/>
      <w:marTop w:val="0"/>
      <w:marBottom w:val="0"/>
      <w:divBdr>
        <w:top w:val="none" w:sz="0" w:space="0" w:color="auto"/>
        <w:left w:val="none" w:sz="0" w:space="0" w:color="auto"/>
        <w:bottom w:val="none" w:sz="0" w:space="0" w:color="auto"/>
        <w:right w:val="none" w:sz="0" w:space="0" w:color="auto"/>
      </w:divBdr>
    </w:div>
    <w:div w:id="992761278">
      <w:bodyDiv w:val="1"/>
      <w:marLeft w:val="0"/>
      <w:marRight w:val="0"/>
      <w:marTop w:val="0"/>
      <w:marBottom w:val="0"/>
      <w:divBdr>
        <w:top w:val="none" w:sz="0" w:space="0" w:color="auto"/>
        <w:left w:val="none" w:sz="0" w:space="0" w:color="auto"/>
        <w:bottom w:val="none" w:sz="0" w:space="0" w:color="auto"/>
        <w:right w:val="none" w:sz="0" w:space="0" w:color="auto"/>
      </w:divBdr>
    </w:div>
    <w:div w:id="1247879529">
      <w:bodyDiv w:val="1"/>
      <w:marLeft w:val="0"/>
      <w:marRight w:val="0"/>
      <w:marTop w:val="0"/>
      <w:marBottom w:val="0"/>
      <w:divBdr>
        <w:top w:val="none" w:sz="0" w:space="0" w:color="auto"/>
        <w:left w:val="none" w:sz="0" w:space="0" w:color="auto"/>
        <w:bottom w:val="none" w:sz="0" w:space="0" w:color="auto"/>
        <w:right w:val="none" w:sz="0" w:space="0" w:color="auto"/>
      </w:divBdr>
    </w:div>
    <w:div w:id="1646161015">
      <w:bodyDiv w:val="1"/>
      <w:marLeft w:val="0"/>
      <w:marRight w:val="0"/>
      <w:marTop w:val="0"/>
      <w:marBottom w:val="0"/>
      <w:divBdr>
        <w:top w:val="none" w:sz="0" w:space="0" w:color="auto"/>
        <w:left w:val="none" w:sz="0" w:space="0" w:color="auto"/>
        <w:bottom w:val="none" w:sz="0" w:space="0" w:color="auto"/>
        <w:right w:val="none" w:sz="0" w:space="0" w:color="auto"/>
      </w:divBdr>
    </w:div>
    <w:div w:id="1737430702">
      <w:bodyDiv w:val="1"/>
      <w:marLeft w:val="0"/>
      <w:marRight w:val="0"/>
      <w:marTop w:val="0"/>
      <w:marBottom w:val="0"/>
      <w:divBdr>
        <w:top w:val="none" w:sz="0" w:space="0" w:color="auto"/>
        <w:left w:val="none" w:sz="0" w:space="0" w:color="auto"/>
        <w:bottom w:val="none" w:sz="0" w:space="0" w:color="auto"/>
        <w:right w:val="none" w:sz="0" w:space="0" w:color="auto"/>
      </w:divBdr>
    </w:div>
    <w:div w:id="1758749309">
      <w:bodyDiv w:val="1"/>
      <w:marLeft w:val="0"/>
      <w:marRight w:val="0"/>
      <w:marTop w:val="0"/>
      <w:marBottom w:val="0"/>
      <w:divBdr>
        <w:top w:val="none" w:sz="0" w:space="0" w:color="auto"/>
        <w:left w:val="none" w:sz="0" w:space="0" w:color="auto"/>
        <w:bottom w:val="none" w:sz="0" w:space="0" w:color="auto"/>
        <w:right w:val="none" w:sz="0" w:space="0" w:color="auto"/>
      </w:divBdr>
    </w:div>
    <w:div w:id="1776363595">
      <w:bodyDiv w:val="1"/>
      <w:marLeft w:val="0"/>
      <w:marRight w:val="0"/>
      <w:marTop w:val="0"/>
      <w:marBottom w:val="0"/>
      <w:divBdr>
        <w:top w:val="none" w:sz="0" w:space="0" w:color="auto"/>
        <w:left w:val="none" w:sz="0" w:space="0" w:color="auto"/>
        <w:bottom w:val="none" w:sz="0" w:space="0" w:color="auto"/>
        <w:right w:val="none" w:sz="0" w:space="0" w:color="auto"/>
      </w:divBdr>
    </w:div>
    <w:div w:id="1978299856">
      <w:bodyDiv w:val="1"/>
      <w:marLeft w:val="0"/>
      <w:marRight w:val="0"/>
      <w:marTop w:val="0"/>
      <w:marBottom w:val="0"/>
      <w:divBdr>
        <w:top w:val="none" w:sz="0" w:space="0" w:color="auto"/>
        <w:left w:val="none" w:sz="0" w:space="0" w:color="auto"/>
        <w:bottom w:val="none" w:sz="0" w:space="0" w:color="auto"/>
        <w:right w:val="none" w:sz="0" w:space="0" w:color="auto"/>
      </w:divBdr>
    </w:div>
    <w:div w:id="2033263485">
      <w:bodyDiv w:val="1"/>
      <w:marLeft w:val="0"/>
      <w:marRight w:val="0"/>
      <w:marTop w:val="0"/>
      <w:marBottom w:val="0"/>
      <w:divBdr>
        <w:top w:val="none" w:sz="0" w:space="0" w:color="auto"/>
        <w:left w:val="none" w:sz="0" w:space="0" w:color="auto"/>
        <w:bottom w:val="none" w:sz="0" w:space="0" w:color="auto"/>
        <w:right w:val="none" w:sz="0" w:space="0" w:color="auto"/>
      </w:divBdr>
    </w:div>
    <w:div w:id="207200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ec\Desktop\NX%20-%20Report%20Template%20v2021.dotx" TargetMode="External"/></Relationships>
</file>

<file path=word/theme/theme1.xml><?xml version="1.0" encoding="utf-8"?>
<a:theme xmlns:a="http://schemas.openxmlformats.org/drawingml/2006/main" name="vpk">
  <a:themeElements>
    <a:clrScheme name="vpk">
      <a:dk1>
        <a:srgbClr val="A0A09B"/>
      </a:dk1>
      <a:lt1>
        <a:sysClr val="window" lastClr="FFFFFF"/>
      </a:lt1>
      <a:dk2>
        <a:srgbClr val="41413C"/>
      </a:dk2>
      <a:lt2>
        <a:srgbClr val="FFFFFF"/>
      </a:lt2>
      <a:accent1>
        <a:srgbClr val="C3E600"/>
      </a:accent1>
      <a:accent2>
        <a:srgbClr val="9DD500"/>
      </a:accent2>
      <a:accent3>
        <a:srgbClr val="76C500"/>
      </a:accent3>
      <a:accent4>
        <a:srgbClr val="50B400"/>
      </a:accent4>
      <a:accent5>
        <a:srgbClr val="C8C8C3"/>
      </a:accent5>
      <a:accent6>
        <a:srgbClr val="B4B4AF"/>
      </a:accent6>
      <a:hlink>
        <a:srgbClr val="2D87DC"/>
      </a:hlink>
      <a:folHlink>
        <a:srgbClr val="5FAA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pk" id="{C16994A2-269C-4EE3-826E-0E7881035F57}" vid="{52D88FDD-E724-455E-8979-EE903605AD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277AD3A383464AB380771C82F1F451" ma:contentTypeVersion="13" ma:contentTypeDescription="Create a new document." ma:contentTypeScope="" ma:versionID="b6b34b3dd7f8156e8b08af35d8199e91">
  <xsd:schema xmlns:xsd="http://www.w3.org/2001/XMLSchema" xmlns:xs="http://www.w3.org/2001/XMLSchema" xmlns:p="http://schemas.microsoft.com/office/2006/metadata/properties" xmlns:ns2="039f74dd-780a-49c2-98da-c691e1ad1930" xmlns:ns3="277c4134-267f-42fd-9505-da4e51afa089" targetNamespace="http://schemas.microsoft.com/office/2006/metadata/properties" ma:root="true" ma:fieldsID="280519aa27c10bc93e370bf70a9cfd25" ns2:_="" ns3:_="">
    <xsd:import namespace="039f74dd-780a-49c2-98da-c691e1ad1930"/>
    <xsd:import namespace="277c4134-267f-42fd-9505-da4e51afa08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TypeofMaterial" minOccurs="0"/>
                <xsd:element ref="ns3:Site" minOccurs="0"/>
                <xsd:element ref="ns3:IssueDate" minOccurs="0"/>
                <xsd:element ref="ns3:ExpiringDate" minOccurs="0"/>
                <xsd:element ref="ns3:Supplier" minOccurs="0"/>
                <xsd:element ref="ns3: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f74dd-780a-49c2-98da-c691e1ad193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77c4134-267f-42fd-9505-da4e51afa0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TypeofMaterial" ma:index="18" nillable="true" ma:displayName="Type of Material" ma:format="Dropdown" ma:internalName="TypeofMaterial">
      <xsd:simpleType>
        <xsd:restriction base="dms:Choice">
          <xsd:enumeration value="Paper"/>
          <xsd:enumeration value="Ink Flexo"/>
          <xsd:enumeration value="Ink Digital"/>
          <xsd:enumeration value="Ink Offset"/>
          <xsd:enumeration value="Film"/>
          <xsd:enumeration value="Glue Hot Melt"/>
          <xsd:enumeration value="Glue Vinilic"/>
          <xsd:enumeration value="Starch"/>
          <xsd:enumeration value="Additives"/>
          <xsd:enumeration value="Strapping"/>
          <xsd:enumeration value="Pallet Wood"/>
          <xsd:enumeration value="Pallet Plastic"/>
          <xsd:enumeration value="External Sheets"/>
          <xsd:enumeration value="External Boxes"/>
        </xsd:restriction>
      </xsd:simpleType>
    </xsd:element>
    <xsd:element name="Site" ma:index="19" nillable="true" ma:displayName="Site" ma:format="Dropdown" ma:internalName="Site">
      <xsd:complexType>
        <xsd:complexContent>
          <xsd:extension base="dms:MultiChoice">
            <xsd:sequence>
              <xsd:element name="Value" maxOccurs="unbounded" minOccurs="0" nillable="true">
                <xsd:simpleType>
                  <xsd:restriction base="dms:Choice">
                    <xsd:enumeration value="IT01-Senna Comasco"/>
                    <xsd:enumeration value="IT02-Calcinate"/>
                    <xsd:enumeration value="IT03-Gambolò"/>
                  </xsd:restriction>
                </xsd:simpleType>
              </xsd:element>
            </xsd:sequence>
          </xsd:extension>
        </xsd:complexContent>
      </xsd:complexType>
    </xsd:element>
    <xsd:element name="IssueDate" ma:index="20" nillable="true" ma:displayName="Issue Date" ma:format="DateOnly" ma:internalName="IssueDate">
      <xsd:simpleType>
        <xsd:restriction base="dms:DateTime"/>
      </xsd:simpleType>
    </xsd:element>
    <xsd:element name="ExpiringDate" ma:index="21" nillable="true" ma:displayName="Expiring Date" ma:format="DateOnly" ma:internalName="ExpiringDate">
      <xsd:simpleType>
        <xsd:restriction base="dms:DateTime"/>
      </xsd:simpleType>
    </xsd:element>
    <xsd:element name="Supplier" ma:index="22" nillable="true" ma:displayName="Supplier" ma:format="Dropdown" ma:internalName="Supplier">
      <xsd:simpleType>
        <xsd:union memberTypes="dms:Text">
          <xsd:simpleType>
            <xsd:restriction base="dms:Choice">
              <xsd:enumeration value="A.G.M."/>
              <xsd:enumeration value="Allwood"/>
              <xsd:enumeration value="Aviretta"/>
              <xsd:enumeration value="Cartesar"/>
              <xsd:enumeration value="Cartiera Ciacci"/>
              <xsd:enumeration value="Cartiere del Polesine"/>
              <xsd:enumeration value="Cartiera Giorgione"/>
              <xsd:enumeration value="Cartiere Modesto Cardella"/>
              <xsd:enumeration value="Giancol"/>
              <xsd:enumeration value="HuberGroup"/>
              <xsd:enumeration value="Ilario Ormezzano"/>
              <xsd:enumeration value="Klingele Papernova Campina"/>
              <xsd:enumeration value="Klingele Papierverke"/>
              <xsd:enumeration value="Laakirchen"/>
              <xsd:enumeration value="Messersì"/>
              <xsd:enumeration value="Modern Karton"/>
              <xsd:enumeration value="Mondi Duino"/>
              <xsd:enumeration value="Mondi SCP Ruzomberok"/>
              <xsd:enumeration value="Mondi Swiecie"/>
              <xsd:enumeration value="Mondialcarta"/>
              <xsd:enumeration value="Norske Skog Bruck"/>
              <xsd:enumeration value="Norske Skog Golbey"/>
              <xsd:enumeration value="Roquette"/>
              <xsd:enumeration value="Reno de Medici"/>
              <xsd:enumeration value="SCA containerboard"/>
              <xsd:enumeration value="se.co.pack"/>
              <xsd:enumeration value="Segheria Piovano"/>
              <xsd:enumeration value="Toscopaper"/>
              <xsd:enumeration value="Villa Lagarina"/>
              <xsd:enumeration value="Wooden Packaging Italia"/>
              <xsd:enumeration value="VICE SRL"/>
            </xsd:restriction>
          </xsd:simpleType>
        </xsd:union>
      </xsd:simpleType>
    </xsd:element>
    <xsd:element name="Active" ma:index="23" nillable="true" ma:displayName="Active" ma:default="PFAS Cert." ma:description="dichiarazione PFAS, TOF, falati e metalli pesanti&#10;dichiarazione  metalli pesanti , MOSH MOAH e altre sostanze&#10;Regolamento CE 1907/2006 REACH e Regolamento UE 2024/2642&#10;Dichiarazione di conformità ambientale e adeguamento Regolamento 2025/40&#10;" ma:format="Dropdown" ma:internalName="Activ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PFAS Cert."/>
                        <xsd:enumeration value="Heavy Metals Cert."/>
                        <xsd:enumeration value="PFAS Analisys"/>
                        <xsd:enumeration value="Heavy Metal Analisys"/>
                        <xsd:enumeration value="PPWR-5-Substance Limit"/>
                        <xsd:enumeration value="PPWR-6-Recyclable"/>
                        <xsd:enumeration value="PPWR-10-Reusable"/>
                        <xsd:enumeration value="PPWR-9-Compostable"/>
                        <xsd:enumeration value="Bisphenols Certificate"/>
                        <xsd:enumeration value="General Certificate"/>
                        <xsd:enumeration value="Not Subject"/>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39f74dd-780a-49c2-98da-c691e1ad1930">DHKATDMSQMXH-1744821113-132</_dlc_DocId>
    <_dlc_DocIdUrl xmlns="039f74dd-780a-49c2-98da-c691e1ad1930">
      <Url>https://vpkgroup.sharepoint.com/sites/sustainability/_layouts/15/DocIdRedir.aspx?ID=DHKATDMSQMXH-1744821113-132</Url>
      <Description>DHKATDMSQMXH-1744821113-132</Description>
    </_dlc_DocIdUrl>
    <IssueDate xmlns="277c4134-267f-42fd-9505-da4e51afa089" xsi:nil="true"/>
    <Active xmlns="277c4134-267f-42fd-9505-da4e51afa089"/>
    <Site xmlns="277c4134-267f-42fd-9505-da4e51afa089" xsi:nil="true"/>
    <TypeofMaterial xmlns="277c4134-267f-42fd-9505-da4e51afa089" xsi:nil="true"/>
    <ExpiringDate xmlns="277c4134-267f-42fd-9505-da4e51afa089" xsi:nil="true"/>
    <Supplier xmlns="277c4134-267f-42fd-9505-da4e51afa089" xsi:nil="true"/>
  </documentManagement>
</p:properties>
</file>

<file path=customXml/itemProps1.xml><?xml version="1.0" encoding="utf-8"?>
<ds:datastoreItem xmlns:ds="http://schemas.openxmlformats.org/officeDocument/2006/customXml" ds:itemID="{A6EA3496-7A4E-4FA4-9BC6-6D45A02F0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f74dd-780a-49c2-98da-c691e1ad1930"/>
    <ds:schemaRef ds:uri="277c4134-267f-42fd-9505-da4e51af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83A17-E637-4699-89EE-E0D1004DD991}">
  <ds:schemaRefs>
    <ds:schemaRef ds:uri="http://schemas.microsoft.com/sharepoint/v3/contenttype/forms"/>
  </ds:schemaRefs>
</ds:datastoreItem>
</file>

<file path=customXml/itemProps3.xml><?xml version="1.0" encoding="utf-8"?>
<ds:datastoreItem xmlns:ds="http://schemas.openxmlformats.org/officeDocument/2006/customXml" ds:itemID="{10CCEFDD-286C-4EF1-8EBD-BAA0F9E98274}">
  <ds:schemaRefs>
    <ds:schemaRef ds:uri="http://schemas.openxmlformats.org/officeDocument/2006/bibliography"/>
  </ds:schemaRefs>
</ds:datastoreItem>
</file>

<file path=customXml/itemProps4.xml><?xml version="1.0" encoding="utf-8"?>
<ds:datastoreItem xmlns:ds="http://schemas.openxmlformats.org/officeDocument/2006/customXml" ds:itemID="{1B81C708-2C4C-4862-A207-1AF64BE37CEE}">
  <ds:schemaRefs>
    <ds:schemaRef ds:uri="http://schemas.microsoft.com/sharepoint/events"/>
  </ds:schemaRefs>
</ds:datastoreItem>
</file>

<file path=customXml/itemProps5.xml><?xml version="1.0" encoding="utf-8"?>
<ds:datastoreItem xmlns:ds="http://schemas.openxmlformats.org/officeDocument/2006/customXml" ds:itemID="{BFF7B041-AC88-4EBE-AE58-118C2513970D}">
  <ds:schemaRefs>
    <ds:schemaRef ds:uri="http://schemas.microsoft.com/office/2006/documentManagement/types"/>
    <ds:schemaRef ds:uri="http://schemas.openxmlformats.org/package/2006/metadata/core-properties"/>
    <ds:schemaRef ds:uri="http://purl.org/dc/elements/1.1/"/>
    <ds:schemaRef ds:uri="277c4134-267f-42fd-9505-da4e51afa089"/>
    <ds:schemaRef ds:uri="http://schemas.microsoft.com/office/2006/metadata/properties"/>
    <ds:schemaRef ds:uri="http://schemas.microsoft.com/office/infopath/2007/PartnerControls"/>
    <ds:schemaRef ds:uri="http://purl.org/dc/terms/"/>
    <ds:schemaRef ds:uri="039f74dd-780a-49c2-98da-c691e1ad193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NX - Report Template v2021</Template>
  <TotalTime>0</TotalTime>
  <Pages>3</Pages>
  <Words>1327</Words>
  <Characters>7564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CBBE-report template v2020</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CBBE-report template v2020</dc:title>
  <dc:subject/>
  <dc:creator>Patrick Leclercq</dc:creator>
  <cp:keywords/>
  <dc:description>Names</dc:description>
  <cp:lastModifiedBy>Ulf Karlsson</cp:lastModifiedBy>
  <cp:revision>2</cp:revision>
  <cp:lastPrinted>2025-07-14T09:12:00Z</cp:lastPrinted>
  <dcterms:created xsi:type="dcterms:W3CDTF">2026-06-18T11:19:00Z</dcterms:created>
  <dcterms:modified xsi:type="dcterms:W3CDTF">2026-06-18T11:19:00Z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e4543890-09c9-4660-bb63-fbb3b3cd8208</vt:lpwstr>
  </property>
  <property fmtid="{D5CDD505-2E9C-101B-9397-08002B2CF9AE}" pid="3" name="ContentTypeId">
    <vt:lpwstr>0x01010012277AD3A383464AB380771C82F1F451</vt:lpwstr>
  </property>
</Properties>
</file>